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92" w:rsidRDefault="00004192">
      <w:pPr>
        <w:pStyle w:val="BodyText"/>
        <w:spacing w:before="5"/>
        <w:rPr>
          <w:sz w:val="13"/>
        </w:rPr>
      </w:pPr>
      <w:bookmarkStart w:id="0" w:name="_GoBack"/>
      <w:bookmarkEnd w:id="0"/>
    </w:p>
    <w:p w:rsidR="00004192" w:rsidRDefault="00584A1C">
      <w:pPr>
        <w:pStyle w:val="BodyText"/>
        <w:spacing w:before="90"/>
        <w:ind w:left="160"/>
      </w:pPr>
      <w:r>
        <w:t xml:space="preserve">Judith </w:t>
      </w:r>
      <w:proofErr w:type="spellStart"/>
      <w:r>
        <w:t>Kindron</w:t>
      </w:r>
      <w:proofErr w:type="spellEnd"/>
      <w:r>
        <w:t>, Administrator/Clerk-Treasurer led the Pledge of Allegiance at 7:30pm.</w:t>
      </w:r>
    </w:p>
    <w:p w:rsidR="00004192" w:rsidRDefault="00004192">
      <w:pPr>
        <w:pStyle w:val="BodyText"/>
        <w:rPr>
          <w:sz w:val="26"/>
        </w:rPr>
      </w:pPr>
    </w:p>
    <w:p w:rsidR="00004192" w:rsidRDefault="00004192">
      <w:pPr>
        <w:pStyle w:val="BodyText"/>
        <w:rPr>
          <w:sz w:val="22"/>
        </w:rPr>
      </w:pPr>
    </w:p>
    <w:p w:rsidR="00004192" w:rsidRDefault="00584A1C">
      <w:pPr>
        <w:pStyle w:val="BodyText"/>
        <w:tabs>
          <w:tab w:val="left" w:pos="2320"/>
        </w:tabs>
        <w:ind w:left="2321" w:right="4720" w:hanging="2161"/>
      </w:pPr>
      <w:r>
        <w:t>Present:</w:t>
      </w:r>
      <w:r>
        <w:tab/>
        <w:t xml:space="preserve">Deborah L. Rogers, Mayor Basil J. Piazza, Deputy </w:t>
      </w:r>
      <w:r>
        <w:rPr>
          <w:spacing w:val="-4"/>
        </w:rPr>
        <w:t xml:space="preserve">Mayor </w:t>
      </w:r>
      <w:r>
        <w:t xml:space="preserve">Matthew J. </w:t>
      </w:r>
      <w:proofErr w:type="spellStart"/>
      <w:r>
        <w:t>Etu</w:t>
      </w:r>
      <w:proofErr w:type="spellEnd"/>
      <w:r>
        <w:t>,</w:t>
      </w:r>
      <w:r>
        <w:rPr>
          <w:spacing w:val="-1"/>
        </w:rPr>
        <w:t xml:space="preserve"> </w:t>
      </w:r>
      <w:r>
        <w:t>Trustee</w:t>
      </w:r>
    </w:p>
    <w:p w:rsidR="00004192" w:rsidRDefault="00584A1C">
      <w:pPr>
        <w:pStyle w:val="BodyText"/>
        <w:ind w:left="2321"/>
      </w:pPr>
      <w:r>
        <w:t>John Murphy, Trustee</w:t>
      </w:r>
    </w:p>
    <w:p w:rsidR="00004192" w:rsidRDefault="00004192">
      <w:pPr>
        <w:pStyle w:val="BodyText"/>
      </w:pPr>
    </w:p>
    <w:p w:rsidR="00004192" w:rsidRDefault="00584A1C">
      <w:pPr>
        <w:pStyle w:val="BodyText"/>
        <w:tabs>
          <w:tab w:val="left" w:pos="2320"/>
        </w:tabs>
        <w:ind w:left="160"/>
      </w:pPr>
      <w:proofErr w:type="gramStart"/>
      <w:r>
        <w:t>Also</w:t>
      </w:r>
      <w:proofErr w:type="gramEnd"/>
      <w:r>
        <w:rPr>
          <w:spacing w:val="-1"/>
        </w:rPr>
        <w:t xml:space="preserve"> </w:t>
      </w:r>
      <w:r>
        <w:t>present:</w:t>
      </w:r>
      <w:r>
        <w:tab/>
        <w:t xml:space="preserve">Judith A. </w:t>
      </w:r>
      <w:proofErr w:type="spellStart"/>
      <w:r>
        <w:t>Kindron</w:t>
      </w:r>
      <w:proofErr w:type="spellEnd"/>
      <w:r>
        <w:t>,</w:t>
      </w:r>
      <w:r>
        <w:rPr>
          <w:spacing w:val="-1"/>
        </w:rPr>
        <w:t xml:space="preserve"> </w:t>
      </w:r>
      <w:r>
        <w:t>Administrator/Clerk-Treasurer</w:t>
      </w:r>
    </w:p>
    <w:p w:rsidR="00004192" w:rsidRDefault="00584A1C">
      <w:pPr>
        <w:pStyle w:val="BodyText"/>
        <w:ind w:left="2321" w:right="4420"/>
      </w:pPr>
      <w:r>
        <w:t xml:space="preserve">Hazel J. Pasco, Deputy Treasurer Charles </w:t>
      </w:r>
      <w:proofErr w:type="spellStart"/>
      <w:r>
        <w:t>Grieco</w:t>
      </w:r>
      <w:proofErr w:type="spellEnd"/>
      <w:r>
        <w:t>, Village Attorney</w:t>
      </w:r>
    </w:p>
    <w:p w:rsidR="00004192" w:rsidRDefault="00584A1C">
      <w:pPr>
        <w:pStyle w:val="BodyText"/>
        <w:ind w:left="2321"/>
      </w:pPr>
      <w:r>
        <w:t xml:space="preserve">Keaton </w:t>
      </w:r>
      <w:proofErr w:type="spellStart"/>
      <w:r>
        <w:t>DePriest</w:t>
      </w:r>
      <w:proofErr w:type="spellEnd"/>
      <w:r>
        <w:t>, Director of Community Development</w:t>
      </w:r>
    </w:p>
    <w:p w:rsidR="00004192" w:rsidRDefault="00004192">
      <w:pPr>
        <w:pStyle w:val="BodyText"/>
        <w:spacing w:before="1"/>
      </w:pPr>
    </w:p>
    <w:p w:rsidR="00004192" w:rsidRDefault="00584A1C">
      <w:pPr>
        <w:pStyle w:val="BodyText"/>
        <w:tabs>
          <w:tab w:val="left" w:pos="2320"/>
        </w:tabs>
        <w:ind w:left="2321" w:right="4591" w:hanging="2161"/>
      </w:pPr>
      <w:r>
        <w:t>Absent:</w:t>
      </w:r>
      <w:r>
        <w:tab/>
        <w:t xml:space="preserve">John “Al” Yates, Jr., Trustee Ben </w:t>
      </w:r>
      <w:proofErr w:type="spellStart"/>
      <w:r>
        <w:t>Vilonen</w:t>
      </w:r>
      <w:proofErr w:type="spellEnd"/>
      <w:r>
        <w:t>, DPW Crew</w:t>
      </w:r>
      <w:r>
        <w:rPr>
          <w:spacing w:val="1"/>
        </w:rPr>
        <w:t xml:space="preserve"> </w:t>
      </w:r>
      <w:r>
        <w:rPr>
          <w:spacing w:val="-4"/>
        </w:rPr>
        <w:t>Chief</w:t>
      </w:r>
    </w:p>
    <w:p w:rsidR="00004192" w:rsidRDefault="00004192">
      <w:pPr>
        <w:pStyle w:val="BodyText"/>
      </w:pPr>
    </w:p>
    <w:p w:rsidR="00004192" w:rsidRDefault="00584A1C">
      <w:pPr>
        <w:pStyle w:val="BodyText"/>
        <w:ind w:left="160"/>
      </w:pPr>
      <w:proofErr w:type="gramStart"/>
      <w:r>
        <w:t>The Village Board meeting was opened at 7</w:t>
      </w:r>
      <w:r>
        <w:t>:30 p.m. by Mayor Rogers</w:t>
      </w:r>
      <w:proofErr w:type="gramEnd"/>
    </w:p>
    <w:p w:rsidR="00004192" w:rsidRDefault="00004192">
      <w:pPr>
        <w:pStyle w:val="BodyText"/>
      </w:pPr>
    </w:p>
    <w:p w:rsidR="00004192" w:rsidRDefault="00584A1C">
      <w:pPr>
        <w:pStyle w:val="BodyText"/>
        <w:ind w:left="160" w:right="648"/>
      </w:pPr>
      <w:r>
        <w:rPr>
          <w:b/>
        </w:rPr>
        <w:t xml:space="preserve">ON MOTION </w:t>
      </w:r>
      <w:r>
        <w:t xml:space="preserve">by Mayor Rogers, seconded by Deputy Mayor Piazza, it </w:t>
      </w:r>
      <w:proofErr w:type="gramStart"/>
      <w:r>
        <w:t>was moved</w:t>
      </w:r>
      <w:proofErr w:type="gramEnd"/>
      <w:r>
        <w:t xml:space="preserve"> to approve the minutes of the regular meeting held on December 9, 2019, as submitted.</w:t>
      </w:r>
    </w:p>
    <w:p w:rsidR="00004192" w:rsidRDefault="00004192">
      <w:pPr>
        <w:pStyle w:val="BodyText"/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pStyle w:val="BodyText"/>
      </w:pPr>
    </w:p>
    <w:p w:rsidR="00004192" w:rsidRDefault="00584A1C">
      <w:pPr>
        <w:pStyle w:val="BodyText"/>
        <w:ind w:left="160" w:right="728"/>
      </w:pPr>
      <w:r>
        <w:rPr>
          <w:b/>
        </w:rPr>
        <w:t xml:space="preserve">ON MOTION </w:t>
      </w:r>
      <w:r>
        <w:t xml:space="preserve">by Mayor Rogers, seconded by Trustee </w:t>
      </w:r>
      <w:proofErr w:type="spellStart"/>
      <w:r>
        <w:t>Etu</w:t>
      </w:r>
      <w:proofErr w:type="spellEnd"/>
      <w:r>
        <w:t xml:space="preserve">, it </w:t>
      </w:r>
      <w:proofErr w:type="gramStart"/>
      <w:r>
        <w:t>was moved</w:t>
      </w:r>
      <w:proofErr w:type="gramEnd"/>
      <w:r>
        <w:t xml:space="preserve"> at 7:44 p.m. to open the public participation portion of the meeting.</w:t>
      </w:r>
    </w:p>
    <w:p w:rsidR="00004192" w:rsidRDefault="00004192">
      <w:pPr>
        <w:pStyle w:val="BodyText"/>
      </w:pPr>
    </w:p>
    <w:p w:rsidR="00004192" w:rsidRDefault="00584A1C">
      <w:pPr>
        <w:pStyle w:val="BodyText"/>
        <w:spacing w:before="1"/>
        <w:ind w:left="880"/>
      </w:pPr>
      <w:r>
        <w:t>Motion carried 4-0</w:t>
      </w:r>
    </w:p>
    <w:p w:rsidR="00004192" w:rsidRDefault="00004192">
      <w:pPr>
        <w:pStyle w:val="BodyText"/>
        <w:spacing w:before="11"/>
        <w:rPr>
          <w:sz w:val="23"/>
        </w:rPr>
      </w:pPr>
    </w:p>
    <w:p w:rsidR="00004192" w:rsidRDefault="00584A1C">
      <w:pPr>
        <w:ind w:left="160" w:right="642"/>
        <w:rPr>
          <w:i/>
          <w:sz w:val="24"/>
        </w:rPr>
      </w:pPr>
      <w:r>
        <w:rPr>
          <w:sz w:val="24"/>
        </w:rPr>
        <w:t xml:space="preserve">Member(s) of the audience who addressed the Board and their comment(s) </w:t>
      </w:r>
      <w:r>
        <w:rPr>
          <w:i/>
          <w:sz w:val="24"/>
        </w:rPr>
        <w:t>[Board of Trustees’ comments are in ita</w:t>
      </w:r>
      <w:r>
        <w:rPr>
          <w:i/>
          <w:sz w:val="24"/>
        </w:rPr>
        <w:t>lics]:</w:t>
      </w:r>
    </w:p>
    <w:p w:rsidR="00004192" w:rsidRDefault="00004192">
      <w:pPr>
        <w:pStyle w:val="BodyText"/>
        <w:rPr>
          <w:i/>
        </w:rPr>
      </w:pPr>
    </w:p>
    <w:p w:rsidR="00004192" w:rsidRDefault="00584A1C">
      <w:pPr>
        <w:pStyle w:val="ListParagraph"/>
        <w:numPr>
          <w:ilvl w:val="0"/>
          <w:numId w:val="1"/>
        </w:numPr>
        <w:tabs>
          <w:tab w:val="left" w:pos="1241"/>
        </w:tabs>
        <w:ind w:right="1124"/>
        <w:rPr>
          <w:sz w:val="24"/>
        </w:rPr>
      </w:pPr>
      <w:proofErr w:type="gramStart"/>
      <w:r>
        <w:rPr>
          <w:b/>
          <w:sz w:val="24"/>
        </w:rPr>
        <w:t xml:space="preserve">Dan Rider – 38 Garden Pkwy </w:t>
      </w:r>
      <w:r>
        <w:rPr>
          <w:sz w:val="24"/>
        </w:rPr>
        <w:t>– Re: FOIL requests (4) – Re: Court Financial Analysis – handout 1 – Am I subsiding speeders?</w:t>
      </w:r>
      <w:proofErr w:type="gramEnd"/>
      <w:r>
        <w:rPr>
          <w:sz w:val="24"/>
        </w:rPr>
        <w:t xml:space="preserve"> Fines are too cheap. Wants it addressed at Budget time. Wants to </w:t>
      </w:r>
      <w:proofErr w:type="gramStart"/>
      <w:r>
        <w:rPr>
          <w:sz w:val="24"/>
        </w:rPr>
        <w:t>be notified</w:t>
      </w:r>
      <w:proofErr w:type="gramEnd"/>
      <w:r>
        <w:rPr>
          <w:sz w:val="24"/>
        </w:rPr>
        <w:t xml:space="preserve"> of Budget</w:t>
      </w:r>
      <w:r>
        <w:rPr>
          <w:spacing w:val="-6"/>
          <w:sz w:val="24"/>
        </w:rPr>
        <w:t xml:space="preserve"> </w:t>
      </w:r>
      <w:r>
        <w:rPr>
          <w:sz w:val="24"/>
        </w:rPr>
        <w:t>meeting.</w:t>
      </w:r>
    </w:p>
    <w:p w:rsidR="00004192" w:rsidRDefault="00584A1C">
      <w:pPr>
        <w:pStyle w:val="ListParagraph"/>
        <w:numPr>
          <w:ilvl w:val="0"/>
          <w:numId w:val="1"/>
        </w:numPr>
        <w:tabs>
          <w:tab w:val="left" w:pos="1241"/>
        </w:tabs>
        <w:ind w:hanging="361"/>
        <w:rPr>
          <w:sz w:val="24"/>
        </w:rPr>
      </w:pPr>
      <w:r>
        <w:rPr>
          <w:sz w:val="24"/>
        </w:rPr>
        <w:t>Wading Pool – compared to other</w:t>
      </w:r>
      <w:r>
        <w:rPr>
          <w:sz w:val="24"/>
        </w:rPr>
        <w:t xml:space="preserve"> municipalities, wants Village to charge a</w:t>
      </w:r>
      <w:r>
        <w:rPr>
          <w:spacing w:val="-7"/>
          <w:sz w:val="24"/>
        </w:rPr>
        <w:t xml:space="preserve"> </w:t>
      </w:r>
      <w:r>
        <w:rPr>
          <w:sz w:val="24"/>
        </w:rPr>
        <w:t>fee.</w:t>
      </w:r>
    </w:p>
    <w:p w:rsidR="00004192" w:rsidRDefault="00584A1C">
      <w:pPr>
        <w:pStyle w:val="ListParagraph"/>
        <w:numPr>
          <w:ilvl w:val="0"/>
          <w:numId w:val="1"/>
        </w:numPr>
        <w:tabs>
          <w:tab w:val="left" w:pos="1241"/>
        </w:tabs>
        <w:ind w:right="534"/>
        <w:rPr>
          <w:sz w:val="24"/>
        </w:rPr>
      </w:pPr>
      <w:r>
        <w:rPr>
          <w:sz w:val="24"/>
        </w:rPr>
        <w:t xml:space="preserve">SEQR for 96 </w:t>
      </w:r>
      <w:r>
        <w:rPr>
          <w:b/>
          <w:sz w:val="24"/>
        </w:rPr>
        <w:t>S</w:t>
      </w:r>
      <w:r>
        <w:rPr>
          <w:sz w:val="24"/>
        </w:rPr>
        <w:t>. Long- handout #2 – no SEQR determination change from residential to lot. This is a temporary use, Type II exempt from SEQR. SEQR for DPW side yard. Send additional SEQR document, wants answer t</w:t>
      </w:r>
      <w:r>
        <w:rPr>
          <w:sz w:val="24"/>
        </w:rPr>
        <w:t>o letter in writing. Williams’s project- S. Long fence is down again. (No sunset on building</w:t>
      </w:r>
      <w:r>
        <w:rPr>
          <w:spacing w:val="-6"/>
          <w:sz w:val="24"/>
        </w:rPr>
        <w:t xml:space="preserve"> </w:t>
      </w:r>
      <w:r>
        <w:rPr>
          <w:sz w:val="24"/>
        </w:rPr>
        <w:t>permit)</w:t>
      </w:r>
    </w:p>
    <w:p w:rsidR="00004192" w:rsidRDefault="00004192">
      <w:pPr>
        <w:pStyle w:val="BodyText"/>
        <w:rPr>
          <w:sz w:val="26"/>
        </w:rPr>
      </w:pPr>
    </w:p>
    <w:p w:rsidR="00004192" w:rsidRDefault="00004192">
      <w:pPr>
        <w:pStyle w:val="BodyText"/>
        <w:spacing w:before="1"/>
        <w:rPr>
          <w:sz w:val="22"/>
        </w:rPr>
      </w:pPr>
    </w:p>
    <w:p w:rsidR="00004192" w:rsidRDefault="00584A1C">
      <w:pPr>
        <w:pStyle w:val="BodyText"/>
        <w:ind w:left="160" w:right="701"/>
      </w:pPr>
      <w:r>
        <w:rPr>
          <w:b/>
        </w:rPr>
        <w:t xml:space="preserve">ON MOTION </w:t>
      </w:r>
      <w:r>
        <w:t xml:space="preserve">by Mayor Rogers, seconded by Trustee </w:t>
      </w:r>
      <w:proofErr w:type="spellStart"/>
      <w:r>
        <w:t>Etu</w:t>
      </w:r>
      <w:proofErr w:type="spellEnd"/>
      <w:r>
        <w:t xml:space="preserve">, it </w:t>
      </w:r>
      <w:proofErr w:type="gramStart"/>
      <w:r>
        <w:t>was moved</w:t>
      </w:r>
      <w:proofErr w:type="gramEnd"/>
      <w:r>
        <w:t xml:space="preserve"> at 8:06 p.m. to close public participation.</w:t>
      </w:r>
    </w:p>
    <w:p w:rsidR="00004192" w:rsidRDefault="00004192">
      <w:pPr>
        <w:pStyle w:val="BodyText"/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sectPr w:rsidR="00004192">
          <w:headerReference w:type="default" r:id="rId7"/>
          <w:type w:val="continuous"/>
          <w:pgSz w:w="12240" w:h="15840"/>
          <w:pgMar w:top="1560" w:right="640" w:bottom="280" w:left="1640" w:header="729" w:footer="720" w:gutter="0"/>
          <w:cols w:space="720"/>
        </w:sectPr>
      </w:pPr>
    </w:p>
    <w:p w:rsidR="00004192" w:rsidRDefault="00004192">
      <w:pPr>
        <w:pStyle w:val="BodyText"/>
        <w:spacing w:before="9"/>
        <w:rPr>
          <w:sz w:val="17"/>
        </w:rPr>
      </w:pPr>
    </w:p>
    <w:p w:rsidR="00004192" w:rsidRDefault="00584A1C">
      <w:pPr>
        <w:pStyle w:val="Heading1"/>
        <w:rPr>
          <w:u w:val="none"/>
        </w:rPr>
      </w:pPr>
      <w:r>
        <w:rPr>
          <w:u w:val="thick"/>
        </w:rPr>
        <w:t>Report – Mayor Rogers</w:t>
      </w:r>
    </w:p>
    <w:p w:rsidR="00004192" w:rsidRDefault="00004192">
      <w:pPr>
        <w:pStyle w:val="BodyText"/>
        <w:spacing w:before="9"/>
        <w:rPr>
          <w:b/>
          <w:sz w:val="19"/>
        </w:rPr>
      </w:pPr>
    </w:p>
    <w:p w:rsidR="00004192" w:rsidRDefault="00584A1C">
      <w:pPr>
        <w:pStyle w:val="BodyText"/>
        <w:spacing w:before="90"/>
        <w:ind w:left="160" w:right="808"/>
      </w:pPr>
      <w:r>
        <w:rPr>
          <w:b/>
        </w:rPr>
        <w:t xml:space="preserve">ON MOTION </w:t>
      </w:r>
      <w:r>
        <w:t xml:space="preserve">by Mayor Rogers, seconded by Trustee Murphy,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</w:pPr>
    </w:p>
    <w:p w:rsidR="00004192" w:rsidRDefault="00584A1C">
      <w:pPr>
        <w:ind w:left="160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following </w:t>
      </w:r>
      <w:r>
        <w:rPr>
          <w:b/>
          <w:i/>
          <w:sz w:val="24"/>
        </w:rPr>
        <w:t xml:space="preserve">budget transfers </w:t>
      </w:r>
      <w:r>
        <w:rPr>
          <w:sz w:val="24"/>
        </w:rPr>
        <w:t xml:space="preserve">are hereby made in the </w:t>
      </w:r>
      <w:r>
        <w:rPr>
          <w:b/>
          <w:i/>
          <w:sz w:val="24"/>
        </w:rPr>
        <w:t xml:space="preserve">General Fund </w:t>
      </w:r>
      <w:r>
        <w:rPr>
          <w:sz w:val="24"/>
        </w:rPr>
        <w:t>for the</w:t>
      </w:r>
    </w:p>
    <w:p w:rsidR="00004192" w:rsidRDefault="00584A1C">
      <w:pPr>
        <w:ind w:left="160"/>
        <w:rPr>
          <w:sz w:val="24"/>
        </w:rPr>
      </w:pPr>
      <w:r>
        <w:rPr>
          <w:b/>
          <w:i/>
          <w:u w:val="thick"/>
        </w:rPr>
        <w:t>2019-2020</w:t>
      </w:r>
      <w:r>
        <w:rPr>
          <w:b/>
          <w:i/>
        </w:rPr>
        <w:t xml:space="preserve"> </w:t>
      </w:r>
      <w:r>
        <w:rPr>
          <w:sz w:val="24"/>
        </w:rPr>
        <w:t>fiscal year.</w:t>
      </w:r>
    </w:p>
    <w:p w:rsidR="00004192" w:rsidRDefault="00004192">
      <w:pPr>
        <w:pStyle w:val="BodyText"/>
        <w:spacing w:before="8" w:after="1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7573"/>
        <w:gridCol w:w="1483"/>
      </w:tblGrid>
      <w:tr w:rsidR="00004192">
        <w:trPr>
          <w:trHeight w:val="249"/>
        </w:trPr>
        <w:tc>
          <w:tcPr>
            <w:tcW w:w="678" w:type="dxa"/>
          </w:tcPr>
          <w:p w:rsidR="00004192" w:rsidRDefault="00584A1C">
            <w:pPr>
              <w:pStyle w:val="TableParagraph"/>
              <w:spacing w:line="229" w:lineRule="exact"/>
              <w:ind w:left="50"/>
            </w:pPr>
            <w:r>
              <w:t>To:</w:t>
            </w: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29" w:lineRule="exact"/>
              <w:ind w:left="91"/>
            </w:pPr>
            <w:r>
              <w:t>001-3410-4160-3401 (Fire Protection/Truck Expense E-1)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29" w:lineRule="exact"/>
              <w:ind w:right="46"/>
              <w:jc w:val="right"/>
            </w:pPr>
            <w:r>
              <w:t>$200.00</w:t>
            </w:r>
          </w:p>
        </w:tc>
      </w:tr>
      <w:tr w:rsidR="00004192">
        <w:trPr>
          <w:trHeight w:val="253"/>
        </w:trPr>
        <w:tc>
          <w:tcPr>
            <w:tcW w:w="678" w:type="dxa"/>
          </w:tcPr>
          <w:p w:rsidR="00004192" w:rsidRDefault="00004192">
            <w:pPr>
              <w:pStyle w:val="TableParagraph"/>
              <w:rPr>
                <w:sz w:val="18"/>
              </w:rPr>
            </w:pP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33" w:lineRule="exact"/>
              <w:ind w:left="91"/>
            </w:pPr>
            <w:r>
              <w:t>001-3410-4160-3402 (Fire Protection/Truck Expense E-2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33" w:lineRule="exact"/>
              <w:ind w:right="46"/>
              <w:jc w:val="right"/>
            </w:pPr>
            <w:r>
              <w:t>$200.00</w:t>
            </w:r>
          </w:p>
        </w:tc>
      </w:tr>
      <w:tr w:rsidR="00004192">
        <w:trPr>
          <w:trHeight w:val="253"/>
        </w:trPr>
        <w:tc>
          <w:tcPr>
            <w:tcW w:w="678" w:type="dxa"/>
          </w:tcPr>
          <w:p w:rsidR="00004192" w:rsidRDefault="00004192">
            <w:pPr>
              <w:pStyle w:val="TableParagraph"/>
              <w:rPr>
                <w:sz w:val="18"/>
              </w:rPr>
            </w:pP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33" w:lineRule="exact"/>
              <w:ind w:left="91"/>
            </w:pPr>
            <w:r>
              <w:t>001-3410-4160-3405 (Fire Protection/Truck Expense R-5)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33" w:lineRule="exact"/>
              <w:ind w:right="54"/>
              <w:jc w:val="right"/>
            </w:pPr>
            <w:r>
              <w:t>$200.00</w:t>
            </w:r>
          </w:p>
        </w:tc>
      </w:tr>
      <w:tr w:rsidR="00004192">
        <w:trPr>
          <w:trHeight w:val="253"/>
        </w:trPr>
        <w:tc>
          <w:tcPr>
            <w:tcW w:w="678" w:type="dxa"/>
          </w:tcPr>
          <w:p w:rsidR="00004192" w:rsidRDefault="00004192">
            <w:pPr>
              <w:pStyle w:val="TableParagraph"/>
              <w:rPr>
                <w:sz w:val="18"/>
              </w:rPr>
            </w:pP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33" w:lineRule="exact"/>
              <w:ind w:left="91"/>
            </w:pPr>
            <w:r>
              <w:t>001-3410-4160-3406 (Fire Protection/Truck Expense T-6)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33" w:lineRule="exact"/>
              <w:ind w:right="46"/>
              <w:jc w:val="right"/>
            </w:pPr>
            <w:r>
              <w:t>$200.00</w:t>
            </w:r>
          </w:p>
        </w:tc>
      </w:tr>
      <w:tr w:rsidR="00004192">
        <w:trPr>
          <w:trHeight w:val="252"/>
        </w:trPr>
        <w:tc>
          <w:tcPr>
            <w:tcW w:w="678" w:type="dxa"/>
          </w:tcPr>
          <w:p w:rsidR="00004192" w:rsidRDefault="00004192">
            <w:pPr>
              <w:pStyle w:val="TableParagraph"/>
              <w:rPr>
                <w:sz w:val="18"/>
              </w:rPr>
            </w:pP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32" w:lineRule="exact"/>
              <w:ind w:left="91"/>
            </w:pPr>
            <w:r>
              <w:t>001-3410-4160-3471 (Fire Protection/Truck Expense 7-1)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32" w:lineRule="exact"/>
              <w:ind w:right="54"/>
              <w:jc w:val="right"/>
            </w:pPr>
            <w:r>
              <w:t>$101.00</w:t>
            </w:r>
          </w:p>
        </w:tc>
      </w:tr>
      <w:tr w:rsidR="00004192">
        <w:trPr>
          <w:trHeight w:val="413"/>
        </w:trPr>
        <w:tc>
          <w:tcPr>
            <w:tcW w:w="678" w:type="dxa"/>
          </w:tcPr>
          <w:p w:rsidR="00004192" w:rsidRDefault="00584A1C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48" w:lineRule="exact"/>
              <w:ind w:left="91"/>
            </w:pPr>
            <w:r>
              <w:t>001-3410-4160-0000 (Fire Protection/Truck Expense)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48" w:lineRule="exact"/>
              <w:ind w:right="46"/>
              <w:jc w:val="right"/>
            </w:pPr>
            <w:r>
              <w:t>$901.00</w:t>
            </w:r>
          </w:p>
        </w:tc>
      </w:tr>
      <w:tr w:rsidR="00004192">
        <w:trPr>
          <w:trHeight w:val="541"/>
        </w:trPr>
        <w:tc>
          <w:tcPr>
            <w:tcW w:w="678" w:type="dxa"/>
          </w:tcPr>
          <w:p w:rsidR="00004192" w:rsidRDefault="00584A1C">
            <w:pPr>
              <w:pStyle w:val="TableParagraph"/>
              <w:spacing w:before="157"/>
              <w:ind w:left="50"/>
            </w:pPr>
            <w:r>
              <w:t>To:</w:t>
            </w: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before="157"/>
              <w:ind w:left="91"/>
            </w:pPr>
            <w:r>
              <w:t>001-3410-4160-3407 (Fire Protection/Truck Expense Rescue 7)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before="157"/>
              <w:ind w:right="46"/>
              <w:jc w:val="right"/>
            </w:pPr>
            <w:r>
              <w:t>$87.00</w:t>
            </w:r>
          </w:p>
        </w:tc>
      </w:tr>
      <w:tr w:rsidR="00004192">
        <w:trPr>
          <w:trHeight w:val="506"/>
        </w:trPr>
        <w:tc>
          <w:tcPr>
            <w:tcW w:w="678" w:type="dxa"/>
          </w:tcPr>
          <w:p w:rsidR="00004192" w:rsidRDefault="00584A1C">
            <w:pPr>
              <w:pStyle w:val="TableParagraph"/>
              <w:spacing w:before="122"/>
              <w:ind w:left="50"/>
            </w:pPr>
            <w:r>
              <w:t>From:</w:t>
            </w: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before="122"/>
              <w:ind w:left="91"/>
            </w:pPr>
            <w:r>
              <w:t>001-3410-4160-0000 (Fire Protection/Truck Expense)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before="122"/>
              <w:ind w:right="46"/>
              <w:jc w:val="right"/>
            </w:pPr>
            <w:r>
              <w:t>$87.00</w:t>
            </w:r>
          </w:p>
        </w:tc>
      </w:tr>
      <w:tr w:rsidR="00004192">
        <w:trPr>
          <w:trHeight w:val="379"/>
        </w:trPr>
        <w:tc>
          <w:tcPr>
            <w:tcW w:w="678" w:type="dxa"/>
          </w:tcPr>
          <w:p w:rsidR="00004192" w:rsidRDefault="00584A1C">
            <w:pPr>
              <w:pStyle w:val="TableParagraph"/>
              <w:spacing w:before="122" w:line="237" w:lineRule="exact"/>
              <w:ind w:left="50"/>
            </w:pPr>
            <w:r>
              <w:t>To:</w:t>
            </w: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before="122" w:line="237" w:lineRule="exact"/>
              <w:ind w:left="91"/>
            </w:pPr>
            <w:r>
              <w:t>001-3410-4160-3407 (Fire Protection/Truck Expense, Chief’s Vehicle)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before="122" w:line="237" w:lineRule="exact"/>
              <w:ind w:right="46"/>
              <w:jc w:val="right"/>
            </w:pPr>
            <w:r>
              <w:t>$239.00</w:t>
            </w:r>
          </w:p>
        </w:tc>
      </w:tr>
      <w:tr w:rsidR="00004192">
        <w:trPr>
          <w:trHeight w:val="252"/>
        </w:trPr>
        <w:tc>
          <w:tcPr>
            <w:tcW w:w="678" w:type="dxa"/>
          </w:tcPr>
          <w:p w:rsidR="00004192" w:rsidRDefault="00004192">
            <w:pPr>
              <w:pStyle w:val="TableParagraph"/>
              <w:rPr>
                <w:sz w:val="18"/>
              </w:rPr>
            </w:pP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32" w:lineRule="exact"/>
              <w:ind w:left="91"/>
            </w:pPr>
            <w:r>
              <w:t>001-3410-4160-3491 (Fire Protection/Truck Expense, Asst. Chief’s Vehicle)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32" w:lineRule="exact"/>
              <w:ind w:right="46"/>
              <w:jc w:val="right"/>
            </w:pPr>
            <w:r>
              <w:t>$239.00</w:t>
            </w:r>
          </w:p>
        </w:tc>
      </w:tr>
      <w:tr w:rsidR="00004192">
        <w:trPr>
          <w:trHeight w:val="253"/>
        </w:trPr>
        <w:tc>
          <w:tcPr>
            <w:tcW w:w="678" w:type="dxa"/>
          </w:tcPr>
          <w:p w:rsidR="00004192" w:rsidRDefault="00004192">
            <w:pPr>
              <w:pStyle w:val="TableParagraph"/>
              <w:rPr>
                <w:sz w:val="18"/>
              </w:rPr>
            </w:pP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33" w:lineRule="exact"/>
              <w:ind w:left="91"/>
            </w:pPr>
            <w:r>
              <w:t>001-3410-4160-3492 (Fire Protection/Truck Expense, Asst. Chief’s Vehicle)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33" w:lineRule="exact"/>
              <w:ind w:right="46"/>
              <w:jc w:val="right"/>
            </w:pPr>
            <w:r>
              <w:t>$239.00</w:t>
            </w:r>
          </w:p>
        </w:tc>
      </w:tr>
      <w:tr w:rsidR="00004192">
        <w:trPr>
          <w:trHeight w:val="381"/>
        </w:trPr>
        <w:tc>
          <w:tcPr>
            <w:tcW w:w="678" w:type="dxa"/>
          </w:tcPr>
          <w:p w:rsidR="00004192" w:rsidRDefault="00584A1C">
            <w:pPr>
              <w:pStyle w:val="TableParagraph"/>
              <w:spacing w:line="249" w:lineRule="exact"/>
              <w:ind w:left="50"/>
            </w:pPr>
            <w:r>
              <w:t>From:</w:t>
            </w: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line="249" w:lineRule="exact"/>
              <w:ind w:left="91"/>
            </w:pPr>
            <w:r>
              <w:t>001-3410-2030-0000 (Fire Protection/Radio Equipment)</w:t>
            </w:r>
          </w:p>
        </w:tc>
        <w:tc>
          <w:tcPr>
            <w:tcW w:w="1483" w:type="dxa"/>
          </w:tcPr>
          <w:p w:rsidR="00004192" w:rsidRDefault="00584A1C">
            <w:pPr>
              <w:pStyle w:val="TableParagraph"/>
              <w:spacing w:line="249" w:lineRule="exact"/>
              <w:ind w:right="46"/>
              <w:jc w:val="right"/>
            </w:pPr>
            <w:r>
              <w:t>$717.00</w:t>
            </w:r>
          </w:p>
        </w:tc>
      </w:tr>
      <w:tr w:rsidR="00004192">
        <w:trPr>
          <w:trHeight w:val="397"/>
        </w:trPr>
        <w:tc>
          <w:tcPr>
            <w:tcW w:w="678" w:type="dxa"/>
          </w:tcPr>
          <w:p w:rsidR="00004192" w:rsidRDefault="00004192">
            <w:pPr>
              <w:pStyle w:val="TableParagraph"/>
            </w:pPr>
          </w:p>
        </w:tc>
        <w:tc>
          <w:tcPr>
            <w:tcW w:w="7573" w:type="dxa"/>
          </w:tcPr>
          <w:p w:rsidR="00004192" w:rsidRDefault="00584A1C">
            <w:pPr>
              <w:pStyle w:val="TableParagraph"/>
              <w:spacing w:before="121"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Motion carried 4-0</w:t>
            </w:r>
          </w:p>
        </w:tc>
        <w:tc>
          <w:tcPr>
            <w:tcW w:w="1483" w:type="dxa"/>
          </w:tcPr>
          <w:p w:rsidR="00004192" w:rsidRDefault="00004192">
            <w:pPr>
              <w:pStyle w:val="TableParagraph"/>
            </w:pPr>
          </w:p>
        </w:tc>
      </w:tr>
    </w:tbl>
    <w:p w:rsidR="00004192" w:rsidRDefault="00004192">
      <w:pPr>
        <w:pStyle w:val="BodyText"/>
        <w:rPr>
          <w:sz w:val="26"/>
        </w:rPr>
      </w:pPr>
    </w:p>
    <w:p w:rsidR="00004192" w:rsidRDefault="00004192">
      <w:pPr>
        <w:pStyle w:val="BodyText"/>
        <w:rPr>
          <w:sz w:val="26"/>
        </w:rPr>
      </w:pPr>
    </w:p>
    <w:p w:rsidR="00004192" w:rsidRDefault="00584A1C">
      <w:pPr>
        <w:pStyle w:val="BodyText"/>
        <w:spacing w:before="182"/>
        <w:ind w:left="160" w:right="808"/>
      </w:pPr>
      <w:r>
        <w:rPr>
          <w:b/>
        </w:rPr>
        <w:t xml:space="preserve">ON MOTION </w:t>
      </w:r>
      <w:r>
        <w:t xml:space="preserve">by Mayor Rogers, seconded by Trustee Murphy,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  <w:rPr>
          <w:sz w:val="26"/>
        </w:rPr>
      </w:pPr>
    </w:p>
    <w:p w:rsidR="00004192" w:rsidRDefault="00004192">
      <w:pPr>
        <w:pStyle w:val="BodyText"/>
        <w:rPr>
          <w:sz w:val="22"/>
        </w:rPr>
      </w:pPr>
    </w:p>
    <w:p w:rsidR="00004192" w:rsidRDefault="00584A1C">
      <w:pPr>
        <w:pStyle w:val="BodyText"/>
        <w:ind w:left="160" w:right="434"/>
      </w:pPr>
      <w:r>
        <w:rPr>
          <w:b/>
        </w:rPr>
        <w:t>RESOLVED</w:t>
      </w:r>
      <w:r>
        <w:t xml:space="preserve">, that payroll and vouchers in the amount of </w:t>
      </w:r>
      <w:r>
        <w:rPr>
          <w:b/>
          <w:u w:val="double"/>
        </w:rPr>
        <w:t>$564,620.37_</w:t>
      </w:r>
      <w:r>
        <w:rPr>
          <w:b/>
        </w:rPr>
        <w:t xml:space="preserve"> </w:t>
      </w:r>
      <w:r>
        <w:t>covering the period from 11/25/19 – 1/5/20 are hereby approved as follows:</w:t>
      </w:r>
    </w:p>
    <w:p w:rsidR="00004192" w:rsidRDefault="00004192">
      <w:pPr>
        <w:pStyle w:val="BodyText"/>
        <w:spacing w:before="8"/>
      </w:pP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1792"/>
      </w:tblGrid>
      <w:tr w:rsidR="00004192">
        <w:trPr>
          <w:trHeight w:val="375"/>
        </w:trPr>
        <w:tc>
          <w:tcPr>
            <w:tcW w:w="4347" w:type="dxa"/>
          </w:tcPr>
          <w:p w:rsidR="00004192" w:rsidRDefault="00584A1C">
            <w:pPr>
              <w:pStyle w:val="TableParagraph"/>
              <w:spacing w:line="244" w:lineRule="exact"/>
              <w:ind w:left="52"/>
            </w:pPr>
            <w:r>
              <w:rPr>
                <w:b/>
              </w:rPr>
              <w:t xml:space="preserve">Payroll covering </w:t>
            </w:r>
            <w:r>
              <w:t>11/25/19 – 1</w:t>
            </w:r>
            <w:r>
              <w:t>2/8/19:</w:t>
            </w:r>
          </w:p>
        </w:tc>
        <w:tc>
          <w:tcPr>
            <w:tcW w:w="1792" w:type="dxa"/>
          </w:tcPr>
          <w:p w:rsidR="00004192" w:rsidRDefault="00584A1C">
            <w:pPr>
              <w:pStyle w:val="TableParagraph"/>
              <w:spacing w:line="244" w:lineRule="exact"/>
              <w:ind w:right="55"/>
              <w:jc w:val="right"/>
            </w:pPr>
            <w:r>
              <w:t>$37,784.83</w:t>
            </w:r>
          </w:p>
        </w:tc>
      </w:tr>
      <w:tr w:rsidR="00004192">
        <w:trPr>
          <w:trHeight w:val="506"/>
        </w:trPr>
        <w:tc>
          <w:tcPr>
            <w:tcW w:w="4347" w:type="dxa"/>
          </w:tcPr>
          <w:p w:rsidR="00004192" w:rsidRDefault="00584A1C">
            <w:pPr>
              <w:pStyle w:val="TableParagraph"/>
              <w:spacing w:before="122"/>
              <w:ind w:left="52"/>
            </w:pPr>
            <w:r>
              <w:rPr>
                <w:b/>
              </w:rPr>
              <w:t xml:space="preserve">Payroll covering </w:t>
            </w:r>
            <w:r>
              <w:t>12/9/19 – 12/22/19:</w:t>
            </w:r>
          </w:p>
        </w:tc>
        <w:tc>
          <w:tcPr>
            <w:tcW w:w="1792" w:type="dxa"/>
          </w:tcPr>
          <w:p w:rsidR="00004192" w:rsidRDefault="00584A1C">
            <w:pPr>
              <w:pStyle w:val="TableParagraph"/>
              <w:spacing w:before="122"/>
              <w:ind w:right="55"/>
              <w:jc w:val="right"/>
            </w:pPr>
            <w:r>
              <w:t>$43,047.04</w:t>
            </w:r>
          </w:p>
        </w:tc>
      </w:tr>
      <w:tr w:rsidR="00004192">
        <w:trPr>
          <w:trHeight w:val="632"/>
        </w:trPr>
        <w:tc>
          <w:tcPr>
            <w:tcW w:w="4347" w:type="dxa"/>
          </w:tcPr>
          <w:p w:rsidR="00004192" w:rsidRDefault="00584A1C">
            <w:pPr>
              <w:pStyle w:val="TableParagraph"/>
              <w:spacing w:before="122"/>
              <w:ind w:left="52"/>
            </w:pPr>
            <w:r>
              <w:rPr>
                <w:b/>
              </w:rPr>
              <w:t xml:space="preserve">Payroll covering </w:t>
            </w:r>
            <w:r>
              <w:t>12/23/19 – 1/5/20:</w:t>
            </w:r>
          </w:p>
        </w:tc>
        <w:tc>
          <w:tcPr>
            <w:tcW w:w="1792" w:type="dxa"/>
          </w:tcPr>
          <w:p w:rsidR="00004192" w:rsidRDefault="00584A1C">
            <w:pPr>
              <w:pStyle w:val="TableParagraph"/>
              <w:spacing w:before="122"/>
              <w:ind w:right="55"/>
              <w:jc w:val="right"/>
            </w:pPr>
            <w:r>
              <w:t>$44,317.92</w:t>
            </w:r>
          </w:p>
        </w:tc>
      </w:tr>
      <w:tr w:rsidR="00004192">
        <w:trPr>
          <w:trHeight w:val="644"/>
        </w:trPr>
        <w:tc>
          <w:tcPr>
            <w:tcW w:w="4347" w:type="dxa"/>
          </w:tcPr>
          <w:p w:rsidR="00004192" w:rsidRDefault="00004192">
            <w:pPr>
              <w:pStyle w:val="TableParagraph"/>
              <w:spacing w:before="6"/>
              <w:rPr>
                <w:sz w:val="21"/>
              </w:rPr>
            </w:pPr>
          </w:p>
          <w:p w:rsidR="00004192" w:rsidRDefault="00584A1C">
            <w:pPr>
              <w:pStyle w:val="TableParagraph"/>
              <w:spacing w:before="1"/>
              <w:ind w:left="50"/>
            </w:pPr>
            <w:r>
              <w:rPr>
                <w:b/>
              </w:rPr>
              <w:t xml:space="preserve">Vouchers covering </w:t>
            </w:r>
            <w:r>
              <w:t>12/4/19 – 12/17/19:</w:t>
            </w:r>
          </w:p>
        </w:tc>
        <w:tc>
          <w:tcPr>
            <w:tcW w:w="1792" w:type="dxa"/>
          </w:tcPr>
          <w:p w:rsidR="00004192" w:rsidRDefault="00004192">
            <w:pPr>
              <w:pStyle w:val="TableParagraph"/>
            </w:pPr>
          </w:p>
        </w:tc>
      </w:tr>
      <w:tr w:rsidR="00004192">
        <w:trPr>
          <w:trHeight w:val="391"/>
        </w:trPr>
        <w:tc>
          <w:tcPr>
            <w:tcW w:w="4347" w:type="dxa"/>
          </w:tcPr>
          <w:p w:rsidR="00004192" w:rsidRDefault="00584A1C">
            <w:pPr>
              <w:pStyle w:val="TableParagraph"/>
              <w:spacing w:before="134" w:line="237" w:lineRule="exact"/>
              <w:ind w:left="1461" w:right="1613"/>
              <w:jc w:val="center"/>
            </w:pPr>
            <w:r>
              <w:t>General Fund</w:t>
            </w:r>
          </w:p>
        </w:tc>
        <w:tc>
          <w:tcPr>
            <w:tcW w:w="1792" w:type="dxa"/>
          </w:tcPr>
          <w:p w:rsidR="00004192" w:rsidRDefault="00584A1C">
            <w:pPr>
              <w:pStyle w:val="TableParagraph"/>
              <w:spacing w:before="134" w:line="237" w:lineRule="exact"/>
              <w:ind w:right="47"/>
              <w:jc w:val="right"/>
            </w:pPr>
            <w:r>
              <w:t>$76,482.41</w:t>
            </w:r>
          </w:p>
        </w:tc>
      </w:tr>
      <w:tr w:rsidR="00004192">
        <w:trPr>
          <w:trHeight w:val="251"/>
        </w:trPr>
        <w:tc>
          <w:tcPr>
            <w:tcW w:w="4347" w:type="dxa"/>
          </w:tcPr>
          <w:p w:rsidR="00004192" w:rsidRDefault="00584A1C">
            <w:pPr>
              <w:pStyle w:val="TableParagraph"/>
              <w:spacing w:line="232" w:lineRule="exact"/>
              <w:ind w:left="1288" w:right="1627"/>
              <w:jc w:val="center"/>
            </w:pPr>
            <w:r>
              <w:t>Water Fund</w:t>
            </w:r>
          </w:p>
        </w:tc>
        <w:tc>
          <w:tcPr>
            <w:tcW w:w="1792" w:type="dxa"/>
          </w:tcPr>
          <w:p w:rsidR="00004192" w:rsidRDefault="00584A1C">
            <w:pPr>
              <w:pStyle w:val="TableParagraph"/>
              <w:spacing w:line="232" w:lineRule="exact"/>
              <w:ind w:right="54"/>
              <w:jc w:val="right"/>
            </w:pPr>
            <w:r>
              <w:t>$.00</w:t>
            </w:r>
          </w:p>
        </w:tc>
      </w:tr>
      <w:tr w:rsidR="00004192">
        <w:trPr>
          <w:trHeight w:val="248"/>
        </w:trPr>
        <w:tc>
          <w:tcPr>
            <w:tcW w:w="4347" w:type="dxa"/>
          </w:tcPr>
          <w:p w:rsidR="00004192" w:rsidRDefault="00584A1C">
            <w:pPr>
              <w:pStyle w:val="TableParagraph"/>
              <w:spacing w:line="228" w:lineRule="exact"/>
              <w:ind w:left="1300" w:right="1627"/>
              <w:jc w:val="center"/>
            </w:pPr>
            <w:r>
              <w:t>Sewer Fund</w:t>
            </w:r>
          </w:p>
        </w:tc>
        <w:tc>
          <w:tcPr>
            <w:tcW w:w="1792" w:type="dxa"/>
          </w:tcPr>
          <w:p w:rsidR="00004192" w:rsidRDefault="00584A1C">
            <w:pPr>
              <w:pStyle w:val="TableParagraph"/>
              <w:spacing w:line="228" w:lineRule="exact"/>
              <w:ind w:right="55"/>
              <w:jc w:val="right"/>
            </w:pPr>
            <w:r>
              <w:t>$995.16</w:t>
            </w:r>
          </w:p>
        </w:tc>
      </w:tr>
    </w:tbl>
    <w:p w:rsidR="00004192" w:rsidRDefault="00004192">
      <w:pPr>
        <w:spacing w:line="228" w:lineRule="exact"/>
        <w:jc w:val="right"/>
        <w:sectPr w:rsidR="00004192">
          <w:pgSz w:w="12240" w:h="15840"/>
          <w:pgMar w:top="1560" w:right="640" w:bottom="280" w:left="1640" w:header="729" w:footer="0" w:gutter="0"/>
          <w:cols w:space="720"/>
        </w:sectPr>
      </w:pPr>
    </w:p>
    <w:p w:rsidR="00004192" w:rsidRDefault="00004192">
      <w:pPr>
        <w:pStyle w:val="BodyText"/>
        <w:rPr>
          <w:sz w:val="20"/>
        </w:rPr>
      </w:pPr>
    </w:p>
    <w:p w:rsidR="00004192" w:rsidRDefault="00004192">
      <w:pPr>
        <w:pStyle w:val="BodyText"/>
        <w:rPr>
          <w:sz w:val="2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7"/>
        <w:gridCol w:w="1900"/>
      </w:tblGrid>
      <w:tr w:rsidR="00004192">
        <w:trPr>
          <w:trHeight w:val="248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28" w:lineRule="exact"/>
              <w:ind w:left="2210"/>
            </w:pPr>
            <w:r>
              <w:t>Glen Park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28" w:lineRule="exact"/>
              <w:ind w:left="1076"/>
            </w:pPr>
            <w:r>
              <w:t>$561.42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left="2210"/>
            </w:pPr>
            <w:r>
              <w:t>Trust &amp; Agency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3" w:lineRule="exact"/>
              <w:ind w:left="807"/>
            </w:pPr>
            <w:r>
              <w:t>$11,266.50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left="2174" w:right="1670"/>
              <w:jc w:val="center"/>
            </w:pPr>
            <w:r>
              <w:t>Debt Service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3" w:lineRule="exact"/>
              <w:ind w:right="125"/>
              <w:jc w:val="right"/>
            </w:pPr>
            <w:r>
              <w:t>$0.00</w:t>
            </w:r>
          </w:p>
        </w:tc>
      </w:tr>
      <w:tr w:rsidR="00004192">
        <w:trPr>
          <w:trHeight w:val="252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2" w:lineRule="exact"/>
              <w:ind w:right="581"/>
              <w:jc w:val="right"/>
            </w:pPr>
            <w:r>
              <w:t>Community Development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2" w:lineRule="exact"/>
              <w:ind w:right="125"/>
              <w:jc w:val="right"/>
            </w:pPr>
            <w:r>
              <w:t>$0.00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left="2210"/>
            </w:pPr>
            <w:r>
              <w:t>Capital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3" w:lineRule="exact"/>
              <w:ind w:left="582"/>
            </w:pPr>
            <w:r>
              <w:rPr>
                <w:u w:val="double"/>
              </w:rPr>
              <w:t xml:space="preserve"> </w:t>
            </w:r>
            <w:r>
              <w:rPr>
                <w:u w:val="double"/>
              </w:rPr>
              <w:t>$125,677.44</w:t>
            </w:r>
          </w:p>
        </w:tc>
      </w:tr>
      <w:tr w:rsidR="00004192">
        <w:trPr>
          <w:trHeight w:val="380"/>
        </w:trPr>
        <w:tc>
          <w:tcPr>
            <w:tcW w:w="5027" w:type="dxa"/>
          </w:tcPr>
          <w:p w:rsidR="00004192" w:rsidRDefault="00004192">
            <w:pPr>
              <w:pStyle w:val="TableParagraph"/>
            </w:pP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49" w:lineRule="exact"/>
              <w:ind w:left="675"/>
            </w:pPr>
            <w:r>
              <w:t>$214,982.93</w:t>
            </w:r>
          </w:p>
        </w:tc>
      </w:tr>
      <w:tr w:rsidR="00004192">
        <w:trPr>
          <w:trHeight w:val="517"/>
        </w:trPr>
        <w:tc>
          <w:tcPr>
            <w:tcW w:w="5027" w:type="dxa"/>
          </w:tcPr>
          <w:p w:rsidR="00004192" w:rsidRDefault="00584A1C">
            <w:pPr>
              <w:pStyle w:val="TableParagraph"/>
              <w:spacing w:before="122"/>
              <w:ind w:left="50"/>
            </w:pPr>
            <w:r>
              <w:rPr>
                <w:b/>
              </w:rPr>
              <w:t xml:space="preserve">Vouchers covering </w:t>
            </w:r>
            <w:r>
              <w:t>12/18/19 – 1/7/20:</w:t>
            </w:r>
          </w:p>
        </w:tc>
        <w:tc>
          <w:tcPr>
            <w:tcW w:w="1900" w:type="dxa"/>
          </w:tcPr>
          <w:p w:rsidR="00004192" w:rsidRDefault="00004192">
            <w:pPr>
              <w:pStyle w:val="TableParagraph"/>
            </w:pPr>
          </w:p>
        </w:tc>
      </w:tr>
      <w:tr w:rsidR="00004192">
        <w:trPr>
          <w:trHeight w:val="390"/>
        </w:trPr>
        <w:tc>
          <w:tcPr>
            <w:tcW w:w="5027" w:type="dxa"/>
          </w:tcPr>
          <w:p w:rsidR="00004192" w:rsidRDefault="00584A1C">
            <w:pPr>
              <w:pStyle w:val="TableParagraph"/>
              <w:spacing w:before="133" w:line="237" w:lineRule="exact"/>
              <w:ind w:left="2210"/>
            </w:pPr>
            <w:r>
              <w:t>General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before="133" w:line="237" w:lineRule="exact"/>
              <w:ind w:left="788"/>
            </w:pPr>
            <w:r>
              <w:t>$86,879.46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left="2083" w:right="1670"/>
              <w:jc w:val="center"/>
            </w:pPr>
            <w:r>
              <w:t>Water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3" w:lineRule="exact"/>
              <w:ind w:right="125"/>
              <w:jc w:val="right"/>
            </w:pPr>
            <w:r>
              <w:t>$.00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left="2095" w:right="1670"/>
              <w:jc w:val="center"/>
            </w:pPr>
            <w:r>
              <w:t>Sewer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3" w:lineRule="exact"/>
              <w:ind w:left="915"/>
            </w:pPr>
            <w:r>
              <w:t>$2,058.99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left="2210"/>
            </w:pPr>
            <w:r>
              <w:t>Glen Park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3" w:lineRule="exact"/>
              <w:ind w:left="1076"/>
            </w:pPr>
            <w:r>
              <w:t>$862.67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left="2210"/>
            </w:pPr>
            <w:r>
              <w:t>Trust &amp; Agency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3" w:lineRule="exact"/>
              <w:ind w:left="807"/>
            </w:pPr>
            <w:r>
              <w:t>$16,280.48</w:t>
            </w:r>
          </w:p>
        </w:tc>
      </w:tr>
      <w:tr w:rsidR="00004192">
        <w:trPr>
          <w:trHeight w:val="251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2" w:lineRule="exact"/>
              <w:ind w:left="2174" w:right="1670"/>
              <w:jc w:val="center"/>
            </w:pPr>
            <w:r>
              <w:t>Debt Service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2" w:lineRule="exact"/>
              <w:ind w:left="810"/>
            </w:pPr>
            <w:r>
              <w:t>$48,262.50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right="581"/>
              <w:jc w:val="right"/>
            </w:pPr>
            <w:r>
              <w:t>Community Development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33" w:lineRule="exact"/>
              <w:ind w:right="125"/>
              <w:jc w:val="right"/>
            </w:pPr>
            <w:r>
              <w:t>$0.00</w:t>
            </w:r>
          </w:p>
        </w:tc>
      </w:tr>
      <w:tr w:rsidR="00004192">
        <w:trPr>
          <w:trHeight w:val="253"/>
        </w:trPr>
        <w:tc>
          <w:tcPr>
            <w:tcW w:w="5027" w:type="dxa"/>
          </w:tcPr>
          <w:p w:rsidR="00004192" w:rsidRDefault="00584A1C">
            <w:pPr>
              <w:pStyle w:val="TableParagraph"/>
              <w:spacing w:line="233" w:lineRule="exact"/>
              <w:ind w:left="2210"/>
            </w:pPr>
            <w:r>
              <w:t>Capital Fund</w:t>
            </w: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tabs>
                <w:tab w:val="left" w:pos="275"/>
              </w:tabs>
              <w:spacing w:line="233" w:lineRule="exact"/>
              <w:ind w:right="48"/>
              <w:jc w:val="right"/>
            </w:pPr>
            <w:r>
              <w:rPr>
                <w:u w:val="double"/>
              </w:rPr>
              <w:t xml:space="preserve"> </w:t>
            </w:r>
            <w:r>
              <w:rPr>
                <w:u w:val="double"/>
              </w:rPr>
              <w:tab/>
            </w:r>
            <w:r>
              <w:rPr>
                <w:spacing w:val="-1"/>
                <w:u w:val="double"/>
              </w:rPr>
              <w:t>$70,143.55</w:t>
            </w:r>
          </w:p>
        </w:tc>
      </w:tr>
      <w:tr w:rsidR="00004192">
        <w:trPr>
          <w:trHeight w:val="508"/>
        </w:trPr>
        <w:tc>
          <w:tcPr>
            <w:tcW w:w="5027" w:type="dxa"/>
          </w:tcPr>
          <w:p w:rsidR="00004192" w:rsidRDefault="00004192">
            <w:pPr>
              <w:pStyle w:val="TableParagraph"/>
            </w:pPr>
          </w:p>
        </w:tc>
        <w:tc>
          <w:tcPr>
            <w:tcW w:w="1900" w:type="dxa"/>
          </w:tcPr>
          <w:p w:rsidR="00004192" w:rsidRDefault="00584A1C">
            <w:pPr>
              <w:pStyle w:val="TableParagraph"/>
              <w:spacing w:line="248" w:lineRule="exact"/>
              <w:ind w:left="675"/>
            </w:pPr>
            <w:r>
              <w:t>$224,487.65</w:t>
            </w:r>
          </w:p>
        </w:tc>
      </w:tr>
      <w:tr w:rsidR="00004192">
        <w:trPr>
          <w:trHeight w:val="760"/>
        </w:trPr>
        <w:tc>
          <w:tcPr>
            <w:tcW w:w="5027" w:type="dxa"/>
          </w:tcPr>
          <w:p w:rsidR="00004192" w:rsidRDefault="00004192">
            <w:pPr>
              <w:pStyle w:val="TableParagraph"/>
              <w:spacing w:before="10"/>
              <w:rPr>
                <w:sz w:val="21"/>
              </w:rPr>
            </w:pPr>
          </w:p>
          <w:p w:rsidR="00004192" w:rsidRDefault="00584A1C">
            <w:pPr>
              <w:pStyle w:val="TableParagraph"/>
              <w:ind w:left="822"/>
              <w:rPr>
                <w:b/>
              </w:rPr>
            </w:pPr>
            <w:r>
              <w:rPr>
                <w:b/>
              </w:rPr>
              <w:t>GRAND TOTAL:</w:t>
            </w:r>
          </w:p>
        </w:tc>
        <w:tc>
          <w:tcPr>
            <w:tcW w:w="1900" w:type="dxa"/>
          </w:tcPr>
          <w:p w:rsidR="00004192" w:rsidRDefault="00004192">
            <w:pPr>
              <w:pStyle w:val="TableParagraph"/>
              <w:spacing w:before="10"/>
              <w:rPr>
                <w:sz w:val="21"/>
              </w:rPr>
            </w:pPr>
          </w:p>
          <w:p w:rsidR="00004192" w:rsidRDefault="00584A1C">
            <w:pPr>
              <w:pStyle w:val="TableParagraph"/>
              <w:ind w:right="50"/>
              <w:jc w:val="right"/>
              <w:rPr>
                <w:b/>
              </w:rPr>
            </w:pPr>
            <w:r>
              <w:rPr>
                <w:b/>
                <w:u w:val="double"/>
              </w:rPr>
              <w:t>$564,620.37</w:t>
            </w:r>
          </w:p>
        </w:tc>
      </w:tr>
      <w:tr w:rsidR="00004192">
        <w:trPr>
          <w:trHeight w:val="521"/>
        </w:trPr>
        <w:tc>
          <w:tcPr>
            <w:tcW w:w="5027" w:type="dxa"/>
          </w:tcPr>
          <w:p w:rsidR="00004192" w:rsidRDefault="00004192">
            <w:pPr>
              <w:pStyle w:val="TableParagraph"/>
              <w:spacing w:before="3"/>
              <w:rPr>
                <w:sz w:val="21"/>
              </w:rPr>
            </w:pPr>
          </w:p>
          <w:p w:rsidR="00004192" w:rsidRDefault="00584A1C">
            <w:pPr>
              <w:pStyle w:val="TableParagraph"/>
              <w:spacing w:before="1" w:line="256" w:lineRule="exact"/>
              <w:ind w:left="769"/>
              <w:rPr>
                <w:sz w:val="24"/>
              </w:rPr>
            </w:pPr>
            <w:r>
              <w:rPr>
                <w:sz w:val="24"/>
              </w:rPr>
              <w:t>Motion carried 4-0</w:t>
            </w:r>
          </w:p>
        </w:tc>
        <w:tc>
          <w:tcPr>
            <w:tcW w:w="1900" w:type="dxa"/>
          </w:tcPr>
          <w:p w:rsidR="00004192" w:rsidRDefault="00004192">
            <w:pPr>
              <w:pStyle w:val="TableParagraph"/>
            </w:pPr>
          </w:p>
        </w:tc>
      </w:tr>
    </w:tbl>
    <w:p w:rsidR="00004192" w:rsidRDefault="00004192">
      <w:pPr>
        <w:pStyle w:val="BodyText"/>
        <w:rPr>
          <w:sz w:val="20"/>
        </w:rPr>
      </w:pPr>
    </w:p>
    <w:p w:rsidR="00004192" w:rsidRDefault="00004192">
      <w:pPr>
        <w:pStyle w:val="BodyText"/>
        <w:spacing w:before="1"/>
        <w:rPr>
          <w:sz w:val="18"/>
        </w:rPr>
      </w:pPr>
    </w:p>
    <w:p w:rsidR="00004192" w:rsidRDefault="00584A1C">
      <w:pPr>
        <w:pStyle w:val="BodyText"/>
        <w:spacing w:before="90"/>
        <w:ind w:left="160" w:right="268"/>
      </w:pPr>
      <w:r>
        <w:rPr>
          <w:b/>
        </w:rPr>
        <w:t xml:space="preserve">ON MOTION </w:t>
      </w:r>
      <w:r>
        <w:t xml:space="preserve">by Mayor Rogers, seconded by Deputy Mayor Piazza,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  <w:spacing w:before="2"/>
      </w:pPr>
    </w:p>
    <w:p w:rsidR="00004192" w:rsidRDefault="00584A1C">
      <w:pPr>
        <w:ind w:left="160"/>
      </w:pPr>
      <w:r>
        <w:rPr>
          <w:b/>
        </w:rPr>
        <w:t xml:space="preserve">RESOLVED, </w:t>
      </w:r>
      <w:r>
        <w:t xml:space="preserve">that light duty </w:t>
      </w:r>
      <w:proofErr w:type="gramStart"/>
      <w:r>
        <w:t>is hereby approved</w:t>
      </w:r>
      <w:proofErr w:type="gramEnd"/>
      <w:r>
        <w:t xml:space="preserve"> for David Klein for the period through March 2020.</w:t>
      </w:r>
    </w:p>
    <w:p w:rsidR="00004192" w:rsidRDefault="00004192">
      <w:pPr>
        <w:pStyle w:val="BodyText"/>
        <w:spacing w:before="7"/>
        <w:rPr>
          <w:sz w:val="25"/>
        </w:rPr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pStyle w:val="BodyText"/>
        <w:rPr>
          <w:sz w:val="26"/>
        </w:rPr>
      </w:pPr>
    </w:p>
    <w:p w:rsidR="00004192" w:rsidRDefault="00004192">
      <w:pPr>
        <w:pStyle w:val="BodyText"/>
        <w:rPr>
          <w:sz w:val="22"/>
        </w:rPr>
      </w:pPr>
    </w:p>
    <w:p w:rsidR="00004192" w:rsidRDefault="00584A1C">
      <w:pPr>
        <w:pStyle w:val="BodyText"/>
        <w:ind w:left="160" w:right="268"/>
      </w:pPr>
      <w:r>
        <w:rPr>
          <w:b/>
        </w:rPr>
        <w:t xml:space="preserve">ON MOTION </w:t>
      </w:r>
      <w:r>
        <w:t>by Mayor Rogers, seconded by Deputy May</w:t>
      </w:r>
      <w:r>
        <w:t xml:space="preserve">or Piazza,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  <w:spacing w:before="1"/>
        <w:rPr>
          <w:sz w:val="22"/>
        </w:rPr>
      </w:pPr>
    </w:p>
    <w:p w:rsidR="00004192" w:rsidRDefault="00584A1C">
      <w:pPr>
        <w:spacing w:line="259" w:lineRule="auto"/>
        <w:ind w:left="160" w:right="268"/>
      </w:pPr>
      <w:r>
        <w:rPr>
          <w:b/>
        </w:rPr>
        <w:t>RESOLVED</w:t>
      </w:r>
      <w:r>
        <w:t xml:space="preserve">, that Williamsville Court Justice, Jeffrey </w:t>
      </w:r>
      <w:proofErr w:type="spellStart"/>
      <w:r>
        <w:t>Voelkl</w:t>
      </w:r>
      <w:proofErr w:type="spellEnd"/>
      <w:r>
        <w:t xml:space="preserve"> </w:t>
      </w:r>
      <w:proofErr w:type="gramStart"/>
      <w:r>
        <w:t>is hereby authorized</w:t>
      </w:r>
      <w:proofErr w:type="gramEnd"/>
      <w:r>
        <w:t xml:space="preserve"> to travel to New York, NY to attend the Continuing Judicial Education Program at the Association of Towns from February 16, 2020 through February 19, 2020, at a cost not to exceed $1,5</w:t>
      </w:r>
      <w:r>
        <w:t>00.00, to be paid by the Village of Williamsville.</w:t>
      </w:r>
    </w:p>
    <w:p w:rsidR="00004192" w:rsidRDefault="00004192">
      <w:pPr>
        <w:pStyle w:val="BodyText"/>
        <w:spacing w:before="11"/>
        <w:rPr>
          <w:sz w:val="21"/>
        </w:rPr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sectPr w:rsidR="00004192">
          <w:pgSz w:w="12240" w:h="15840"/>
          <w:pgMar w:top="1560" w:right="640" w:bottom="280" w:left="1640" w:header="729" w:footer="0" w:gutter="0"/>
          <w:cols w:space="720"/>
        </w:sectPr>
      </w:pPr>
    </w:p>
    <w:p w:rsidR="00004192" w:rsidRDefault="00004192">
      <w:pPr>
        <w:pStyle w:val="BodyText"/>
        <w:rPr>
          <w:sz w:val="20"/>
        </w:rPr>
      </w:pPr>
    </w:p>
    <w:p w:rsidR="00004192" w:rsidRDefault="00004192">
      <w:pPr>
        <w:pStyle w:val="BodyText"/>
        <w:spacing w:before="5"/>
        <w:rPr>
          <w:sz w:val="17"/>
        </w:rPr>
      </w:pPr>
    </w:p>
    <w:p w:rsidR="00004192" w:rsidRDefault="00584A1C">
      <w:pPr>
        <w:pStyle w:val="BodyText"/>
        <w:spacing w:before="90"/>
        <w:ind w:left="160" w:right="268"/>
      </w:pPr>
      <w:r>
        <w:rPr>
          <w:b/>
        </w:rPr>
        <w:t xml:space="preserve">ON MOTION </w:t>
      </w:r>
      <w:r>
        <w:t xml:space="preserve">by Mayor Rogers, seconded by Deputy Mayor Piazza,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  <w:spacing w:before="1"/>
        <w:rPr>
          <w:sz w:val="22"/>
        </w:rPr>
      </w:pPr>
    </w:p>
    <w:p w:rsidR="00004192" w:rsidRDefault="00584A1C">
      <w:pPr>
        <w:spacing w:line="259" w:lineRule="auto"/>
        <w:ind w:left="160" w:right="240"/>
      </w:pPr>
      <w:r>
        <w:rPr>
          <w:b/>
        </w:rPr>
        <w:t>RESOLVED</w:t>
      </w:r>
      <w:r>
        <w:t xml:space="preserve">, that the Director of Community Development, Keaton </w:t>
      </w:r>
      <w:proofErr w:type="spellStart"/>
      <w:r>
        <w:t>DePriest</w:t>
      </w:r>
      <w:proofErr w:type="spellEnd"/>
      <w:r>
        <w:t xml:space="preserve"> </w:t>
      </w:r>
      <w:r>
        <w:t>is authorized to attend the NYCOM Legislative Meeting from Sunday February 9, 2020 to Tuesday February 11, 2020 in Albany, NY, at a cost not to exceed $700.00, to be paid by the Village of Williamsville.</w:t>
      </w:r>
    </w:p>
    <w:p w:rsidR="00004192" w:rsidRDefault="00004192">
      <w:pPr>
        <w:pStyle w:val="BodyText"/>
      </w:pPr>
    </w:p>
    <w:p w:rsidR="00004192" w:rsidRDefault="00004192">
      <w:pPr>
        <w:pStyle w:val="BodyText"/>
        <w:spacing w:before="9"/>
        <w:rPr>
          <w:sz w:val="19"/>
        </w:rPr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pStyle w:val="BodyText"/>
        <w:rPr>
          <w:sz w:val="26"/>
        </w:rPr>
      </w:pPr>
    </w:p>
    <w:p w:rsidR="00004192" w:rsidRDefault="00584A1C">
      <w:pPr>
        <w:pStyle w:val="BodyText"/>
        <w:spacing w:before="208"/>
        <w:ind w:left="160"/>
      </w:pPr>
      <w:r>
        <w:rPr>
          <w:b/>
        </w:rPr>
        <w:t xml:space="preserve">ON MOTION </w:t>
      </w:r>
      <w:r>
        <w:t>by Mayor Rogers, sec</w:t>
      </w:r>
      <w:r>
        <w:t xml:space="preserve">onded by Trustee </w:t>
      </w:r>
      <w:proofErr w:type="spellStart"/>
      <w:r>
        <w:t>Etu</w:t>
      </w:r>
      <w:proofErr w:type="spellEnd"/>
      <w:r>
        <w:t xml:space="preserve">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  <w:spacing w:before="2"/>
      </w:pPr>
    </w:p>
    <w:p w:rsidR="00004192" w:rsidRDefault="00584A1C">
      <w:pPr>
        <w:tabs>
          <w:tab w:val="left" w:pos="4439"/>
        </w:tabs>
        <w:spacing w:line="259" w:lineRule="auto"/>
        <w:ind w:left="160" w:right="240"/>
      </w:pPr>
      <w:proofErr w:type="gramStart"/>
      <w:r>
        <w:rPr>
          <w:b/>
        </w:rPr>
        <w:t xml:space="preserve">RESOLVED, </w:t>
      </w:r>
      <w:r>
        <w:t>that the Regular Board Meetings of the Village of Williamsville Board of Trustees will be held at 7:30pm on the second and fourth Mondays of each month, except for February 2020, when t</w:t>
      </w:r>
      <w:r>
        <w:t>he regular meeting will be held on Monday February 24, 2020, and that the 2020 Re-Organization Meeting will be held on Monday, July 6, 2020, at</w:t>
      </w:r>
      <w:r>
        <w:rPr>
          <w:spacing w:val="-9"/>
        </w:rPr>
        <w:t xml:space="preserve"> </w:t>
      </w:r>
      <w:r>
        <w:t>6:00 p.m.</w:t>
      </w:r>
      <w:r>
        <w:tab/>
        <w:t>Meetings will be held in the Williamsville Village Hall, 5565 Main Street with work session meeting di</w:t>
      </w:r>
      <w:r>
        <w:t>scussions to be held at 6:00</w:t>
      </w:r>
      <w:r>
        <w:rPr>
          <w:spacing w:val="-14"/>
        </w:rPr>
        <w:t xml:space="preserve"> </w:t>
      </w:r>
      <w:r>
        <w:t>p.m.</w:t>
      </w:r>
      <w:proofErr w:type="gramEnd"/>
    </w:p>
    <w:p w:rsidR="00004192" w:rsidRDefault="00004192">
      <w:pPr>
        <w:pStyle w:val="BodyText"/>
        <w:spacing w:before="9"/>
        <w:rPr>
          <w:sz w:val="23"/>
        </w:rPr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pStyle w:val="BodyText"/>
        <w:rPr>
          <w:sz w:val="26"/>
        </w:rPr>
      </w:pPr>
    </w:p>
    <w:p w:rsidR="00004192" w:rsidRDefault="00584A1C">
      <w:pPr>
        <w:pStyle w:val="BodyText"/>
        <w:spacing w:before="207"/>
        <w:ind w:left="160" w:right="268"/>
      </w:pPr>
      <w:r>
        <w:rPr>
          <w:b/>
        </w:rPr>
        <w:t xml:space="preserve">ON MOTION </w:t>
      </w:r>
      <w:r>
        <w:t xml:space="preserve">by Mayor Rogers, seconded by Deputy Mayor Piazza, the following resolution </w:t>
      </w:r>
      <w:proofErr w:type="gramStart"/>
      <w:r>
        <w:t>was adopted</w:t>
      </w:r>
      <w:proofErr w:type="gramEnd"/>
    </w:p>
    <w:p w:rsidR="00004192" w:rsidRDefault="00004192">
      <w:pPr>
        <w:pStyle w:val="BodyText"/>
        <w:spacing w:before="1"/>
        <w:rPr>
          <w:sz w:val="26"/>
        </w:rPr>
      </w:pPr>
    </w:p>
    <w:p w:rsidR="00004192" w:rsidRDefault="00584A1C">
      <w:pPr>
        <w:spacing w:line="259" w:lineRule="auto"/>
        <w:ind w:left="160" w:right="553"/>
      </w:pPr>
      <w:r>
        <w:rPr>
          <w:b/>
        </w:rPr>
        <w:t xml:space="preserve">RESOLVED, </w:t>
      </w:r>
      <w:r>
        <w:t xml:space="preserve">that Bridget Prichard of 53 </w:t>
      </w:r>
      <w:proofErr w:type="spellStart"/>
      <w:r>
        <w:t>Tillotson</w:t>
      </w:r>
      <w:proofErr w:type="spellEnd"/>
      <w:r>
        <w:t xml:space="preserve"> Place, Tonawanda, </w:t>
      </w:r>
      <w:proofErr w:type="gramStart"/>
      <w:r>
        <w:t>is hereby appointed</w:t>
      </w:r>
      <w:proofErr w:type="gramEnd"/>
      <w:r>
        <w:t xml:space="preserve"> Building and Zoning Clerk, at a rate of $16.48/hour, effective immediately.</w:t>
      </w:r>
    </w:p>
    <w:p w:rsidR="00004192" w:rsidRDefault="00004192">
      <w:pPr>
        <w:pStyle w:val="BodyText"/>
      </w:pPr>
    </w:p>
    <w:p w:rsidR="00004192" w:rsidRDefault="00004192">
      <w:pPr>
        <w:pStyle w:val="BodyText"/>
        <w:spacing w:before="10"/>
        <w:rPr>
          <w:sz w:val="21"/>
        </w:rPr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pStyle w:val="BodyText"/>
        <w:rPr>
          <w:sz w:val="26"/>
        </w:rPr>
      </w:pPr>
    </w:p>
    <w:p w:rsidR="00004192" w:rsidRDefault="00584A1C">
      <w:pPr>
        <w:pStyle w:val="BodyText"/>
        <w:spacing w:before="207"/>
        <w:ind w:left="160" w:right="268"/>
      </w:pPr>
      <w:r>
        <w:rPr>
          <w:b/>
        </w:rPr>
        <w:t xml:space="preserve">ON MOTION </w:t>
      </w:r>
      <w:r>
        <w:t xml:space="preserve">by Mayor Rogers, seconded by Deputy Mayor Piazza, the following resolution </w:t>
      </w:r>
      <w:proofErr w:type="gramStart"/>
      <w:r>
        <w:t>was adopted</w:t>
      </w:r>
      <w:proofErr w:type="gramEnd"/>
    </w:p>
    <w:p w:rsidR="00004192" w:rsidRDefault="00004192">
      <w:pPr>
        <w:pStyle w:val="BodyText"/>
        <w:rPr>
          <w:sz w:val="26"/>
        </w:rPr>
      </w:pPr>
    </w:p>
    <w:p w:rsidR="00004192" w:rsidRDefault="00584A1C">
      <w:pPr>
        <w:spacing w:before="205" w:line="256" w:lineRule="auto"/>
        <w:ind w:left="160" w:right="218"/>
      </w:pPr>
      <w:r>
        <w:rPr>
          <w:b/>
        </w:rPr>
        <w:t>RESOLVED</w:t>
      </w:r>
      <w:r>
        <w:t xml:space="preserve">, that Change Order #5 for </w:t>
      </w:r>
      <w:proofErr w:type="spellStart"/>
      <w:r>
        <w:t>Milherst</w:t>
      </w:r>
      <w:proofErr w:type="spellEnd"/>
      <w:r>
        <w:t xml:space="preserve"> Construction, Inc. for the repair of concrete and asphalt driveways and the deduction of the final grading and seeding along</w:t>
      </w:r>
      <w:r>
        <w:t xml:space="preserve"> with tree trimming on the Cadman Drive Road project #838, is hereby approved in the amount of $35,000.00.</w:t>
      </w:r>
    </w:p>
    <w:p w:rsidR="00004192" w:rsidRDefault="00004192">
      <w:pPr>
        <w:pStyle w:val="BodyText"/>
        <w:spacing w:before="10"/>
        <w:rPr>
          <w:sz w:val="35"/>
        </w:rPr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pStyle w:val="BodyText"/>
        <w:rPr>
          <w:sz w:val="26"/>
        </w:rPr>
      </w:pPr>
    </w:p>
    <w:p w:rsidR="00004192" w:rsidRDefault="00004192">
      <w:pPr>
        <w:pStyle w:val="BodyText"/>
        <w:rPr>
          <w:sz w:val="26"/>
        </w:rPr>
      </w:pPr>
    </w:p>
    <w:p w:rsidR="00004192" w:rsidRDefault="00584A1C">
      <w:pPr>
        <w:spacing w:before="164"/>
        <w:ind w:left="160"/>
        <w:rPr>
          <w:i/>
          <w:sz w:val="24"/>
        </w:rPr>
      </w:pPr>
      <w:r>
        <w:rPr>
          <w:b/>
          <w:sz w:val="28"/>
          <w:u w:val="thick"/>
        </w:rPr>
        <w:t>Report – Trustee Yates</w:t>
      </w:r>
      <w:r>
        <w:rPr>
          <w:b/>
          <w:sz w:val="28"/>
        </w:rPr>
        <w:t xml:space="preserve"> – </w:t>
      </w:r>
      <w:r>
        <w:rPr>
          <w:i/>
          <w:sz w:val="24"/>
        </w:rPr>
        <w:t>No reports</w:t>
      </w:r>
    </w:p>
    <w:p w:rsidR="00004192" w:rsidRDefault="00004192">
      <w:pPr>
        <w:rPr>
          <w:sz w:val="24"/>
        </w:rPr>
        <w:sectPr w:rsidR="00004192">
          <w:pgSz w:w="12240" w:h="15840"/>
          <w:pgMar w:top="1560" w:right="640" w:bottom="280" w:left="1640" w:header="729" w:footer="0" w:gutter="0"/>
          <w:cols w:space="720"/>
        </w:sectPr>
      </w:pPr>
    </w:p>
    <w:p w:rsidR="00004192" w:rsidRDefault="00004192">
      <w:pPr>
        <w:pStyle w:val="BodyText"/>
        <w:spacing w:before="9"/>
        <w:rPr>
          <w:i/>
          <w:sz w:val="17"/>
        </w:rPr>
      </w:pPr>
    </w:p>
    <w:p w:rsidR="00004192" w:rsidRDefault="00584A1C">
      <w:pPr>
        <w:pStyle w:val="Heading1"/>
        <w:rPr>
          <w:u w:val="none"/>
        </w:rPr>
      </w:pPr>
      <w:r>
        <w:rPr>
          <w:u w:val="thick"/>
        </w:rPr>
        <w:t xml:space="preserve">Report – Trustee </w:t>
      </w:r>
      <w:proofErr w:type="spellStart"/>
      <w:r>
        <w:rPr>
          <w:u w:val="thick"/>
        </w:rPr>
        <w:t>Etu</w:t>
      </w:r>
      <w:proofErr w:type="spellEnd"/>
    </w:p>
    <w:p w:rsidR="00004192" w:rsidRDefault="00004192">
      <w:pPr>
        <w:pStyle w:val="BodyText"/>
        <w:spacing w:before="9"/>
        <w:rPr>
          <w:b/>
          <w:sz w:val="19"/>
        </w:rPr>
      </w:pPr>
    </w:p>
    <w:p w:rsidR="00004192" w:rsidRDefault="00584A1C">
      <w:pPr>
        <w:pStyle w:val="BodyText"/>
        <w:spacing w:before="90"/>
        <w:ind w:left="160" w:right="535"/>
      </w:pPr>
      <w:r>
        <w:rPr>
          <w:b/>
        </w:rPr>
        <w:t xml:space="preserve">ON MOTION </w:t>
      </w:r>
      <w:r>
        <w:t xml:space="preserve">by Trustee </w:t>
      </w:r>
      <w:proofErr w:type="spellStart"/>
      <w:r>
        <w:t>Etu</w:t>
      </w:r>
      <w:proofErr w:type="spellEnd"/>
      <w:r>
        <w:t xml:space="preserve">, seconded by Deputy Mayor Piazza,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  <w:spacing w:before="3"/>
        <w:rPr>
          <w:sz w:val="22"/>
        </w:rPr>
      </w:pPr>
    </w:p>
    <w:p w:rsidR="00004192" w:rsidRDefault="00584A1C">
      <w:pPr>
        <w:spacing w:before="1" w:line="259" w:lineRule="auto"/>
        <w:ind w:left="160" w:right="162"/>
      </w:pPr>
      <w:r>
        <w:rPr>
          <w:b/>
        </w:rPr>
        <w:t>RESOLVED</w:t>
      </w:r>
      <w:r>
        <w:t>, that the Village of Williamsville hereby adopts the revised Park Structure Fees, as listed in the attached schedule, to be effective as of 1/01/2020.</w:t>
      </w:r>
    </w:p>
    <w:p w:rsidR="00004192" w:rsidRDefault="00004192">
      <w:pPr>
        <w:pStyle w:val="BodyText"/>
        <w:spacing w:before="5"/>
        <w:rPr>
          <w:sz w:val="23"/>
        </w:rPr>
      </w:pPr>
    </w:p>
    <w:p w:rsidR="00004192" w:rsidRDefault="00584A1C">
      <w:pPr>
        <w:pStyle w:val="BodyText"/>
        <w:ind w:left="880"/>
      </w:pPr>
      <w:r>
        <w:t xml:space="preserve">Motion </w:t>
      </w:r>
      <w:r>
        <w:t>carried 4-0</w:t>
      </w:r>
    </w:p>
    <w:p w:rsidR="00004192" w:rsidRDefault="00004192">
      <w:pPr>
        <w:pStyle w:val="BodyText"/>
        <w:rPr>
          <w:sz w:val="26"/>
        </w:rPr>
      </w:pPr>
    </w:p>
    <w:p w:rsidR="00004192" w:rsidRDefault="00584A1C">
      <w:pPr>
        <w:spacing w:before="211"/>
        <w:ind w:left="160"/>
        <w:rPr>
          <w:i/>
          <w:sz w:val="24"/>
        </w:rPr>
      </w:pPr>
      <w:r>
        <w:rPr>
          <w:b/>
          <w:sz w:val="28"/>
          <w:u w:val="thick"/>
        </w:rPr>
        <w:t>Report – Trustee Murphy</w:t>
      </w:r>
      <w:r>
        <w:rPr>
          <w:b/>
          <w:sz w:val="28"/>
        </w:rPr>
        <w:t xml:space="preserve"> – </w:t>
      </w:r>
      <w:r>
        <w:rPr>
          <w:i/>
          <w:sz w:val="24"/>
        </w:rPr>
        <w:t>No reports</w:t>
      </w:r>
    </w:p>
    <w:p w:rsidR="00004192" w:rsidRDefault="00004192">
      <w:pPr>
        <w:pStyle w:val="BodyText"/>
        <w:rPr>
          <w:i/>
          <w:sz w:val="20"/>
        </w:rPr>
      </w:pPr>
    </w:p>
    <w:p w:rsidR="00004192" w:rsidRDefault="00004192">
      <w:pPr>
        <w:pStyle w:val="BodyText"/>
        <w:rPr>
          <w:i/>
          <w:sz w:val="20"/>
        </w:rPr>
      </w:pPr>
    </w:p>
    <w:p w:rsidR="00004192" w:rsidRDefault="00004192">
      <w:pPr>
        <w:pStyle w:val="BodyText"/>
        <w:spacing w:before="4"/>
        <w:rPr>
          <w:i/>
          <w:sz w:val="20"/>
        </w:rPr>
      </w:pPr>
    </w:p>
    <w:p w:rsidR="00004192" w:rsidRDefault="00584A1C">
      <w:pPr>
        <w:pStyle w:val="Heading1"/>
        <w:rPr>
          <w:u w:val="none"/>
        </w:rPr>
      </w:pPr>
      <w:r>
        <w:rPr>
          <w:u w:val="thick"/>
        </w:rPr>
        <w:t>Report – Deputy Mayor Piazza</w:t>
      </w:r>
    </w:p>
    <w:p w:rsidR="00004192" w:rsidRDefault="00004192">
      <w:pPr>
        <w:pStyle w:val="BodyText"/>
        <w:spacing w:before="10"/>
        <w:rPr>
          <w:b/>
          <w:sz w:val="15"/>
        </w:rPr>
      </w:pPr>
    </w:p>
    <w:p w:rsidR="00004192" w:rsidRDefault="00584A1C">
      <w:pPr>
        <w:pStyle w:val="BodyText"/>
        <w:spacing w:before="90"/>
        <w:ind w:left="160" w:right="528"/>
      </w:pPr>
      <w:r>
        <w:rPr>
          <w:b/>
        </w:rPr>
        <w:t xml:space="preserve">ON MOTION </w:t>
      </w:r>
      <w:r>
        <w:t xml:space="preserve">by Deputy Mayor Piazza, seconded by Trustee Murphy,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  <w:spacing w:before="1"/>
      </w:pPr>
    </w:p>
    <w:p w:rsidR="00004192" w:rsidRDefault="00584A1C">
      <w:pPr>
        <w:spacing w:line="259" w:lineRule="auto"/>
        <w:ind w:left="160" w:right="248"/>
      </w:pPr>
      <w:r>
        <w:rPr>
          <w:b/>
        </w:rPr>
        <w:t>RESOLVED</w:t>
      </w:r>
      <w:r>
        <w:t>, that the Mayor is hereby authorized to execute, on behalf of t</w:t>
      </w:r>
      <w:r>
        <w:t>he Village of Williamsville, contracts with the Town of Amherst and Williamsville Fire Department/Hutchinson Hose Company, for fire protection for the year 2020 in the following districts:</w:t>
      </w:r>
    </w:p>
    <w:p w:rsidR="00004192" w:rsidRDefault="00004192">
      <w:pPr>
        <w:pStyle w:val="BodyText"/>
        <w:spacing w:before="8"/>
        <w:rPr>
          <w:sz w:val="21"/>
        </w:rPr>
      </w:pPr>
    </w:p>
    <w:p w:rsidR="00004192" w:rsidRDefault="00584A1C">
      <w:pPr>
        <w:ind w:left="1600" w:right="5906"/>
      </w:pPr>
      <w:r>
        <w:t xml:space="preserve">Autumn Harvest District #1 </w:t>
      </w:r>
      <w:proofErr w:type="spellStart"/>
      <w:r>
        <w:t>Lamm</w:t>
      </w:r>
      <w:proofErr w:type="spellEnd"/>
      <w:r>
        <w:t xml:space="preserve"> Post District #2 Lehn Springs Dist</w:t>
      </w:r>
      <w:r>
        <w:t>rict #3 Mill Street District</w:t>
      </w:r>
      <w:r>
        <w:rPr>
          <w:spacing w:val="-1"/>
        </w:rPr>
        <w:t xml:space="preserve"> </w:t>
      </w:r>
      <w:r>
        <w:t>#4</w:t>
      </w:r>
    </w:p>
    <w:p w:rsidR="00004192" w:rsidRDefault="00584A1C">
      <w:pPr>
        <w:spacing w:before="1"/>
        <w:ind w:left="1600" w:right="5077"/>
      </w:pPr>
      <w:r>
        <w:t>Park Club Lane District #15 Williamsville - Sheridan District #16</w:t>
      </w:r>
    </w:p>
    <w:p w:rsidR="00004192" w:rsidRDefault="00004192">
      <w:pPr>
        <w:pStyle w:val="BodyText"/>
      </w:pPr>
    </w:p>
    <w:p w:rsidR="00004192" w:rsidRDefault="00004192">
      <w:pPr>
        <w:pStyle w:val="BodyText"/>
      </w:pPr>
    </w:p>
    <w:p w:rsidR="00004192" w:rsidRDefault="00004192">
      <w:pPr>
        <w:pStyle w:val="BodyText"/>
      </w:pPr>
    </w:p>
    <w:p w:rsidR="00004192" w:rsidRDefault="00004192">
      <w:pPr>
        <w:pStyle w:val="BodyText"/>
      </w:pPr>
    </w:p>
    <w:p w:rsidR="00004192" w:rsidRDefault="00584A1C">
      <w:pPr>
        <w:pStyle w:val="BodyText"/>
        <w:spacing w:before="183"/>
        <w:ind w:left="880"/>
      </w:pPr>
      <w:r>
        <w:t>Motion carried 4-0</w:t>
      </w:r>
    </w:p>
    <w:p w:rsidR="00004192" w:rsidRDefault="00004192">
      <w:pPr>
        <w:sectPr w:rsidR="00004192">
          <w:pgSz w:w="12240" w:h="15840"/>
          <w:pgMar w:top="1560" w:right="640" w:bottom="280" w:left="1640" w:header="729" w:footer="0" w:gutter="0"/>
          <w:cols w:space="720"/>
        </w:sectPr>
      </w:pPr>
    </w:p>
    <w:p w:rsidR="00004192" w:rsidRDefault="00004192">
      <w:pPr>
        <w:pStyle w:val="BodyText"/>
        <w:spacing w:before="5"/>
        <w:rPr>
          <w:sz w:val="13"/>
        </w:rPr>
      </w:pPr>
    </w:p>
    <w:p w:rsidR="00004192" w:rsidRDefault="00584A1C">
      <w:pPr>
        <w:pStyle w:val="BodyText"/>
        <w:spacing w:before="90"/>
        <w:ind w:left="160" w:right="528"/>
      </w:pPr>
      <w:r>
        <w:rPr>
          <w:b/>
        </w:rPr>
        <w:t xml:space="preserve">ON MOTION </w:t>
      </w:r>
      <w:r>
        <w:t xml:space="preserve">by Deputy Mayor Piazza, seconded by Trustee Murphy, the following resolution </w:t>
      </w:r>
      <w:proofErr w:type="gramStart"/>
      <w:r>
        <w:t>was adopted</w:t>
      </w:r>
      <w:proofErr w:type="gramEnd"/>
      <w:r>
        <w:t>:</w:t>
      </w:r>
    </w:p>
    <w:p w:rsidR="00004192" w:rsidRDefault="00004192">
      <w:pPr>
        <w:pStyle w:val="BodyText"/>
        <w:spacing w:before="1"/>
        <w:rPr>
          <w:sz w:val="28"/>
        </w:rPr>
      </w:pPr>
    </w:p>
    <w:p w:rsidR="00004192" w:rsidRDefault="00584A1C">
      <w:pPr>
        <w:spacing w:line="259" w:lineRule="auto"/>
        <w:ind w:left="160" w:right="639"/>
      </w:pPr>
      <w:r>
        <w:rPr>
          <w:b/>
        </w:rPr>
        <w:t>RESOLVED</w:t>
      </w:r>
      <w:r>
        <w:t xml:space="preserve">, that the Village of Williamsville hereby establishes the following standard </w:t>
      </w:r>
      <w:proofErr w:type="gramStart"/>
      <w:r>
        <w:t>work days</w:t>
      </w:r>
      <w:proofErr w:type="gramEnd"/>
      <w:r>
        <w:t xml:space="preserve"> for these titles and will report the officials to the New York State and Local Retirement System based on their record of activities:</w:t>
      </w:r>
    </w:p>
    <w:p w:rsidR="00004192" w:rsidRDefault="00004192">
      <w:pPr>
        <w:pStyle w:val="BodyText"/>
        <w:spacing w:before="3"/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1256"/>
        <w:gridCol w:w="1904"/>
        <w:gridCol w:w="1368"/>
        <w:gridCol w:w="2365"/>
      </w:tblGrid>
      <w:tr w:rsidR="00004192">
        <w:trPr>
          <w:trHeight w:val="902"/>
        </w:trPr>
        <w:tc>
          <w:tcPr>
            <w:tcW w:w="1210" w:type="dxa"/>
            <w:shd w:val="clear" w:color="auto" w:fill="D9D9D9"/>
          </w:tcPr>
          <w:p w:rsidR="00004192" w:rsidRDefault="00584A1C">
            <w:pPr>
              <w:pStyle w:val="TableParagraph"/>
              <w:spacing w:before="1"/>
              <w:ind w:left="187" w:right="18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Title:</w:t>
            </w:r>
          </w:p>
        </w:tc>
        <w:tc>
          <w:tcPr>
            <w:tcW w:w="1256" w:type="dxa"/>
            <w:shd w:val="clear" w:color="auto" w:fill="D9D9D9"/>
          </w:tcPr>
          <w:p w:rsidR="00004192" w:rsidRDefault="00584A1C">
            <w:pPr>
              <w:pStyle w:val="TableParagraph"/>
              <w:spacing w:before="1"/>
              <w:ind w:left="242" w:right="217" w:firstLine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Standard Work Day:</w:t>
            </w:r>
          </w:p>
        </w:tc>
        <w:tc>
          <w:tcPr>
            <w:tcW w:w="1904" w:type="dxa"/>
            <w:shd w:val="clear" w:color="auto" w:fill="D9D9D9"/>
          </w:tcPr>
          <w:p w:rsidR="00004192" w:rsidRDefault="00584A1C">
            <w:pPr>
              <w:pStyle w:val="TableParagraph"/>
              <w:spacing w:before="1"/>
              <w:ind w:left="186" w:right="18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Name:</w:t>
            </w:r>
          </w:p>
        </w:tc>
        <w:tc>
          <w:tcPr>
            <w:tcW w:w="1368" w:type="dxa"/>
            <w:shd w:val="clear" w:color="auto" w:fill="D9D9D9"/>
          </w:tcPr>
          <w:p w:rsidR="00004192" w:rsidRDefault="00584A1C">
            <w:pPr>
              <w:pStyle w:val="TableParagraph"/>
              <w:spacing w:before="1"/>
              <w:ind w:left="234" w:right="163" w:hanging="4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Current Term Begins/Ends</w:t>
            </w:r>
          </w:p>
        </w:tc>
        <w:tc>
          <w:tcPr>
            <w:tcW w:w="2365" w:type="dxa"/>
            <w:shd w:val="clear" w:color="auto" w:fill="D9D9D9"/>
          </w:tcPr>
          <w:p w:rsidR="00004192" w:rsidRDefault="00004192">
            <w:pPr>
              <w:pStyle w:val="TableParagraph"/>
              <w:rPr>
                <w:sz w:val="18"/>
              </w:rPr>
            </w:pPr>
          </w:p>
          <w:p w:rsidR="00004192" w:rsidRDefault="00004192">
            <w:pPr>
              <w:pStyle w:val="TableParagraph"/>
              <w:rPr>
                <w:sz w:val="18"/>
              </w:rPr>
            </w:pPr>
          </w:p>
          <w:p w:rsidR="00004192" w:rsidRDefault="00004192">
            <w:pPr>
              <w:pStyle w:val="TableParagraph"/>
              <w:spacing w:before="4"/>
              <w:rPr>
                <w:sz w:val="23"/>
              </w:rPr>
            </w:pPr>
          </w:p>
          <w:p w:rsidR="00004192" w:rsidRDefault="00584A1C">
            <w:pPr>
              <w:pStyle w:val="TableParagraph"/>
              <w:spacing w:line="199" w:lineRule="exact"/>
              <w:ind w:left="169" w:right="16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Record of Activities Results</w:t>
            </w:r>
          </w:p>
        </w:tc>
      </w:tr>
      <w:tr w:rsidR="00004192">
        <w:trPr>
          <w:trHeight w:val="299"/>
        </w:trPr>
        <w:tc>
          <w:tcPr>
            <w:tcW w:w="1210" w:type="dxa"/>
          </w:tcPr>
          <w:p w:rsidR="00004192" w:rsidRDefault="00584A1C">
            <w:pPr>
              <w:pStyle w:val="TableParagraph"/>
              <w:spacing w:before="80" w:line="199" w:lineRule="exact"/>
              <w:ind w:left="187" w:right="17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Elected</w:t>
            </w:r>
          </w:p>
        </w:tc>
        <w:tc>
          <w:tcPr>
            <w:tcW w:w="1256" w:type="dxa"/>
          </w:tcPr>
          <w:p w:rsidR="00004192" w:rsidRDefault="0000419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004192" w:rsidRDefault="00004192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04192" w:rsidRDefault="00004192"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 w:rsidR="00004192" w:rsidRDefault="00004192">
            <w:pPr>
              <w:pStyle w:val="TableParagraph"/>
              <w:rPr>
                <w:sz w:val="20"/>
              </w:rPr>
            </w:pPr>
          </w:p>
        </w:tc>
      </w:tr>
      <w:tr w:rsidR="00004192">
        <w:trPr>
          <w:trHeight w:val="300"/>
        </w:trPr>
        <w:tc>
          <w:tcPr>
            <w:tcW w:w="1210" w:type="dxa"/>
          </w:tcPr>
          <w:p w:rsidR="00004192" w:rsidRDefault="00584A1C">
            <w:pPr>
              <w:pStyle w:val="TableParagraph"/>
              <w:spacing w:before="81" w:line="199" w:lineRule="exact"/>
              <w:ind w:left="187" w:right="17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Mayor</w:t>
            </w:r>
          </w:p>
        </w:tc>
        <w:tc>
          <w:tcPr>
            <w:tcW w:w="1256" w:type="dxa"/>
          </w:tcPr>
          <w:p w:rsidR="00004192" w:rsidRDefault="00584A1C">
            <w:pPr>
              <w:pStyle w:val="TableParagraph"/>
              <w:spacing w:before="81" w:line="199" w:lineRule="exact"/>
              <w:ind w:right="57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904" w:type="dxa"/>
          </w:tcPr>
          <w:p w:rsidR="00004192" w:rsidRDefault="00584A1C">
            <w:pPr>
              <w:pStyle w:val="TableParagraph"/>
              <w:spacing w:before="81" w:line="199" w:lineRule="exact"/>
              <w:ind w:left="187" w:right="18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Deborah L. Rogers</w:t>
            </w:r>
          </w:p>
        </w:tc>
        <w:tc>
          <w:tcPr>
            <w:tcW w:w="1368" w:type="dxa"/>
          </w:tcPr>
          <w:p w:rsidR="00004192" w:rsidRDefault="00584A1C">
            <w:pPr>
              <w:pStyle w:val="TableParagraph"/>
              <w:spacing w:before="81" w:line="199" w:lineRule="exact"/>
              <w:ind w:left="128" w:right="12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7/1/19-7/2/23</w:t>
            </w:r>
          </w:p>
        </w:tc>
        <w:tc>
          <w:tcPr>
            <w:tcW w:w="2365" w:type="dxa"/>
          </w:tcPr>
          <w:p w:rsidR="00004192" w:rsidRDefault="00584A1C">
            <w:pPr>
              <w:pStyle w:val="TableParagraph"/>
              <w:spacing w:before="81" w:line="199" w:lineRule="exact"/>
              <w:ind w:left="169" w:right="16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8.89</w:t>
            </w:r>
          </w:p>
        </w:tc>
      </w:tr>
      <w:tr w:rsidR="00004192">
        <w:trPr>
          <w:trHeight w:val="299"/>
        </w:trPr>
        <w:tc>
          <w:tcPr>
            <w:tcW w:w="1210" w:type="dxa"/>
          </w:tcPr>
          <w:p w:rsidR="00004192" w:rsidRDefault="00584A1C">
            <w:pPr>
              <w:pStyle w:val="TableParagraph"/>
              <w:spacing w:before="80" w:line="199" w:lineRule="exact"/>
              <w:ind w:left="187" w:right="18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Trustee</w:t>
            </w:r>
          </w:p>
        </w:tc>
        <w:tc>
          <w:tcPr>
            <w:tcW w:w="1256" w:type="dxa"/>
          </w:tcPr>
          <w:p w:rsidR="00004192" w:rsidRDefault="00584A1C">
            <w:pPr>
              <w:pStyle w:val="TableParagraph"/>
              <w:spacing w:before="80" w:line="199" w:lineRule="exact"/>
              <w:ind w:right="57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904" w:type="dxa"/>
          </w:tcPr>
          <w:p w:rsidR="00004192" w:rsidRDefault="00584A1C">
            <w:pPr>
              <w:pStyle w:val="TableParagraph"/>
              <w:spacing w:before="80" w:line="199" w:lineRule="exact"/>
              <w:ind w:left="187" w:right="18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Matthew J. </w:t>
            </w:r>
            <w:proofErr w:type="spellStart"/>
            <w:r>
              <w:rPr>
                <w:rFonts w:ascii="Calibri"/>
                <w:sz w:val="18"/>
              </w:rPr>
              <w:t>Etu</w:t>
            </w:r>
            <w:proofErr w:type="spellEnd"/>
          </w:p>
        </w:tc>
        <w:tc>
          <w:tcPr>
            <w:tcW w:w="1368" w:type="dxa"/>
          </w:tcPr>
          <w:p w:rsidR="00004192" w:rsidRDefault="00584A1C">
            <w:pPr>
              <w:pStyle w:val="TableParagraph"/>
              <w:spacing w:before="80" w:line="199" w:lineRule="exact"/>
              <w:ind w:left="128" w:right="12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7/1/19-7/2/23</w:t>
            </w:r>
          </w:p>
        </w:tc>
        <w:tc>
          <w:tcPr>
            <w:tcW w:w="2365" w:type="dxa"/>
          </w:tcPr>
          <w:p w:rsidR="00004192" w:rsidRDefault="00584A1C">
            <w:pPr>
              <w:pStyle w:val="TableParagraph"/>
              <w:spacing w:before="80" w:line="199" w:lineRule="exact"/>
              <w:ind w:left="169" w:right="16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3.5</w:t>
            </w:r>
          </w:p>
        </w:tc>
      </w:tr>
      <w:tr w:rsidR="00004192">
        <w:trPr>
          <w:trHeight w:val="299"/>
        </w:trPr>
        <w:tc>
          <w:tcPr>
            <w:tcW w:w="1210" w:type="dxa"/>
          </w:tcPr>
          <w:p w:rsidR="00004192" w:rsidRDefault="00584A1C">
            <w:pPr>
              <w:pStyle w:val="TableParagraph"/>
              <w:spacing w:before="80" w:line="199" w:lineRule="exact"/>
              <w:ind w:left="187" w:right="18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Trustee</w:t>
            </w:r>
          </w:p>
        </w:tc>
        <w:tc>
          <w:tcPr>
            <w:tcW w:w="1256" w:type="dxa"/>
          </w:tcPr>
          <w:p w:rsidR="00004192" w:rsidRDefault="00584A1C">
            <w:pPr>
              <w:pStyle w:val="TableParagraph"/>
              <w:spacing w:before="80" w:line="199" w:lineRule="exact"/>
              <w:ind w:right="57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904" w:type="dxa"/>
          </w:tcPr>
          <w:p w:rsidR="00004192" w:rsidRDefault="00584A1C">
            <w:pPr>
              <w:pStyle w:val="TableParagraph"/>
              <w:spacing w:before="80" w:line="199" w:lineRule="exact"/>
              <w:ind w:left="185" w:right="18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John D. Murphy</w:t>
            </w:r>
          </w:p>
        </w:tc>
        <w:tc>
          <w:tcPr>
            <w:tcW w:w="1368" w:type="dxa"/>
          </w:tcPr>
          <w:p w:rsidR="00004192" w:rsidRDefault="00584A1C">
            <w:pPr>
              <w:pStyle w:val="TableParagraph"/>
              <w:spacing w:before="80" w:line="199" w:lineRule="exact"/>
              <w:ind w:left="128" w:right="12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7/1/19-7/5/20</w:t>
            </w:r>
          </w:p>
        </w:tc>
        <w:tc>
          <w:tcPr>
            <w:tcW w:w="2365" w:type="dxa"/>
          </w:tcPr>
          <w:p w:rsidR="00004192" w:rsidRDefault="00584A1C">
            <w:pPr>
              <w:pStyle w:val="TableParagraph"/>
              <w:spacing w:before="80" w:line="199" w:lineRule="exact"/>
              <w:ind w:left="169" w:right="16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Not Submitted</w:t>
            </w:r>
          </w:p>
        </w:tc>
      </w:tr>
      <w:tr w:rsidR="00004192">
        <w:trPr>
          <w:trHeight w:val="438"/>
        </w:trPr>
        <w:tc>
          <w:tcPr>
            <w:tcW w:w="1210" w:type="dxa"/>
          </w:tcPr>
          <w:p w:rsidR="00004192" w:rsidRDefault="00584A1C">
            <w:pPr>
              <w:pStyle w:val="TableParagraph"/>
              <w:spacing w:before="1" w:line="219" w:lineRule="exact"/>
              <w:ind w:left="36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Village</w:t>
            </w:r>
          </w:p>
          <w:p w:rsidR="00004192" w:rsidRDefault="00584A1C">
            <w:pPr>
              <w:pStyle w:val="TableParagraph"/>
              <w:spacing w:line="199" w:lineRule="exact"/>
              <w:ind w:lef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Justice</w:t>
            </w:r>
          </w:p>
        </w:tc>
        <w:tc>
          <w:tcPr>
            <w:tcW w:w="1256" w:type="dxa"/>
          </w:tcPr>
          <w:p w:rsidR="00004192" w:rsidRDefault="00004192">
            <w:pPr>
              <w:pStyle w:val="TableParagraph"/>
              <w:spacing w:before="1"/>
              <w:rPr>
                <w:sz w:val="19"/>
              </w:rPr>
            </w:pPr>
          </w:p>
          <w:p w:rsidR="00004192" w:rsidRDefault="00584A1C">
            <w:pPr>
              <w:pStyle w:val="TableParagraph"/>
              <w:spacing w:line="199" w:lineRule="exact"/>
              <w:ind w:right="57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904" w:type="dxa"/>
          </w:tcPr>
          <w:p w:rsidR="00004192" w:rsidRDefault="00004192">
            <w:pPr>
              <w:pStyle w:val="TableParagraph"/>
              <w:spacing w:before="1"/>
              <w:rPr>
                <w:sz w:val="19"/>
              </w:rPr>
            </w:pPr>
          </w:p>
          <w:p w:rsidR="00004192" w:rsidRDefault="00584A1C">
            <w:pPr>
              <w:pStyle w:val="TableParagraph"/>
              <w:spacing w:line="199" w:lineRule="exact"/>
              <w:ind w:left="185" w:right="18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Jeffrey F. </w:t>
            </w:r>
            <w:proofErr w:type="spellStart"/>
            <w:r>
              <w:rPr>
                <w:rFonts w:ascii="Calibri"/>
                <w:sz w:val="18"/>
              </w:rPr>
              <w:t>Voelkl</w:t>
            </w:r>
            <w:proofErr w:type="spellEnd"/>
          </w:p>
        </w:tc>
        <w:tc>
          <w:tcPr>
            <w:tcW w:w="1368" w:type="dxa"/>
          </w:tcPr>
          <w:p w:rsidR="00004192" w:rsidRDefault="00004192">
            <w:pPr>
              <w:pStyle w:val="TableParagraph"/>
              <w:spacing w:before="1"/>
              <w:rPr>
                <w:sz w:val="19"/>
              </w:rPr>
            </w:pPr>
          </w:p>
          <w:p w:rsidR="00004192" w:rsidRDefault="00584A1C">
            <w:pPr>
              <w:pStyle w:val="TableParagraph"/>
              <w:spacing w:line="199" w:lineRule="exact"/>
              <w:ind w:left="128" w:right="12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7/1/19-7/2/23</w:t>
            </w:r>
          </w:p>
        </w:tc>
        <w:tc>
          <w:tcPr>
            <w:tcW w:w="2365" w:type="dxa"/>
          </w:tcPr>
          <w:p w:rsidR="00004192" w:rsidRDefault="00004192">
            <w:pPr>
              <w:pStyle w:val="TableParagraph"/>
              <w:spacing w:before="1"/>
              <w:rPr>
                <w:sz w:val="19"/>
              </w:rPr>
            </w:pPr>
          </w:p>
          <w:p w:rsidR="00004192" w:rsidRDefault="00584A1C">
            <w:pPr>
              <w:pStyle w:val="TableParagraph"/>
              <w:spacing w:line="199" w:lineRule="exact"/>
              <w:ind w:left="169" w:right="16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3.76</w:t>
            </w:r>
          </w:p>
        </w:tc>
      </w:tr>
      <w:tr w:rsidR="00004192">
        <w:trPr>
          <w:trHeight w:val="302"/>
        </w:trPr>
        <w:tc>
          <w:tcPr>
            <w:tcW w:w="1210" w:type="dxa"/>
          </w:tcPr>
          <w:p w:rsidR="00004192" w:rsidRDefault="00584A1C">
            <w:pPr>
              <w:pStyle w:val="TableParagraph"/>
              <w:spacing w:before="83" w:line="199" w:lineRule="exact"/>
              <w:ind w:left="187" w:right="18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Appointed</w:t>
            </w:r>
          </w:p>
        </w:tc>
        <w:tc>
          <w:tcPr>
            <w:tcW w:w="1256" w:type="dxa"/>
          </w:tcPr>
          <w:p w:rsidR="00004192" w:rsidRDefault="0000419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004192" w:rsidRDefault="00004192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04192" w:rsidRDefault="00004192"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 w:rsidR="00004192" w:rsidRDefault="00004192">
            <w:pPr>
              <w:pStyle w:val="TableParagraph"/>
              <w:rPr>
                <w:sz w:val="20"/>
              </w:rPr>
            </w:pPr>
          </w:p>
        </w:tc>
      </w:tr>
      <w:tr w:rsidR="00004192">
        <w:trPr>
          <w:trHeight w:val="599"/>
        </w:trPr>
        <w:tc>
          <w:tcPr>
            <w:tcW w:w="1210" w:type="dxa"/>
          </w:tcPr>
          <w:p w:rsidR="00004192" w:rsidRDefault="00584A1C">
            <w:pPr>
              <w:pStyle w:val="TableParagraph"/>
              <w:spacing w:before="80"/>
              <w:ind w:left="359" w:right="228" w:hanging="10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Associate Justice</w:t>
            </w:r>
          </w:p>
        </w:tc>
        <w:tc>
          <w:tcPr>
            <w:tcW w:w="1256" w:type="dxa"/>
          </w:tcPr>
          <w:p w:rsidR="00004192" w:rsidRDefault="00004192">
            <w:pPr>
              <w:pStyle w:val="TableParagraph"/>
              <w:spacing w:before="6"/>
              <w:rPr>
                <w:sz w:val="16"/>
              </w:rPr>
            </w:pPr>
          </w:p>
          <w:p w:rsidR="00004192" w:rsidRDefault="00584A1C">
            <w:pPr>
              <w:pStyle w:val="TableParagraph"/>
              <w:spacing w:before="1"/>
              <w:ind w:right="57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904" w:type="dxa"/>
          </w:tcPr>
          <w:p w:rsidR="00004192" w:rsidRDefault="00004192">
            <w:pPr>
              <w:pStyle w:val="TableParagraph"/>
              <w:spacing w:before="6"/>
              <w:rPr>
                <w:sz w:val="16"/>
              </w:rPr>
            </w:pPr>
          </w:p>
          <w:p w:rsidR="00004192" w:rsidRDefault="00584A1C">
            <w:pPr>
              <w:pStyle w:val="TableParagraph"/>
              <w:spacing w:before="1"/>
              <w:ind w:left="187" w:right="18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Walter Pacer</w:t>
            </w:r>
          </w:p>
        </w:tc>
        <w:tc>
          <w:tcPr>
            <w:tcW w:w="1368" w:type="dxa"/>
          </w:tcPr>
          <w:p w:rsidR="00004192" w:rsidRDefault="00004192">
            <w:pPr>
              <w:pStyle w:val="TableParagraph"/>
              <w:spacing w:before="6"/>
              <w:rPr>
                <w:sz w:val="16"/>
              </w:rPr>
            </w:pPr>
          </w:p>
          <w:p w:rsidR="00004192" w:rsidRDefault="00584A1C">
            <w:pPr>
              <w:pStyle w:val="TableParagraph"/>
              <w:spacing w:before="1"/>
              <w:ind w:left="129" w:right="12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7/1/19-7/5/20</w:t>
            </w:r>
          </w:p>
        </w:tc>
        <w:tc>
          <w:tcPr>
            <w:tcW w:w="2365" w:type="dxa"/>
          </w:tcPr>
          <w:p w:rsidR="00004192" w:rsidRDefault="00004192">
            <w:pPr>
              <w:pStyle w:val="TableParagraph"/>
              <w:spacing w:before="6"/>
              <w:rPr>
                <w:sz w:val="16"/>
              </w:rPr>
            </w:pPr>
          </w:p>
          <w:p w:rsidR="00004192" w:rsidRDefault="00584A1C">
            <w:pPr>
              <w:pStyle w:val="TableParagraph"/>
              <w:spacing w:before="1"/>
              <w:ind w:left="169" w:right="16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0.57</w:t>
            </w:r>
          </w:p>
        </w:tc>
      </w:tr>
      <w:tr w:rsidR="00004192">
        <w:trPr>
          <w:trHeight w:val="659"/>
        </w:trPr>
        <w:tc>
          <w:tcPr>
            <w:tcW w:w="1210" w:type="dxa"/>
          </w:tcPr>
          <w:p w:rsidR="00004192" w:rsidRDefault="00584A1C">
            <w:pPr>
              <w:pStyle w:val="TableParagraph"/>
              <w:spacing w:before="1"/>
              <w:ind w:left="203" w:right="194" w:firstLine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Village Prosecutor</w:t>
            </w:r>
          </w:p>
          <w:p w:rsidR="00004192" w:rsidRDefault="00584A1C">
            <w:pPr>
              <w:pStyle w:val="TableParagraph"/>
              <w:spacing w:line="199" w:lineRule="exact"/>
              <w:ind w:left="187" w:right="17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P/T</w:t>
            </w:r>
          </w:p>
        </w:tc>
        <w:tc>
          <w:tcPr>
            <w:tcW w:w="1256" w:type="dxa"/>
          </w:tcPr>
          <w:p w:rsidR="00004192" w:rsidRDefault="00004192">
            <w:pPr>
              <w:pStyle w:val="TableParagraph"/>
              <w:spacing w:before="1"/>
              <w:rPr>
                <w:sz w:val="19"/>
              </w:rPr>
            </w:pPr>
          </w:p>
          <w:p w:rsidR="00004192" w:rsidRDefault="00584A1C">
            <w:pPr>
              <w:pStyle w:val="TableParagraph"/>
              <w:ind w:right="57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904" w:type="dxa"/>
          </w:tcPr>
          <w:p w:rsidR="00004192" w:rsidRDefault="00004192">
            <w:pPr>
              <w:pStyle w:val="TableParagraph"/>
              <w:spacing w:before="1"/>
              <w:rPr>
                <w:sz w:val="19"/>
              </w:rPr>
            </w:pPr>
          </w:p>
          <w:p w:rsidR="00004192" w:rsidRDefault="00584A1C">
            <w:pPr>
              <w:pStyle w:val="TableParagraph"/>
              <w:ind w:left="187" w:right="18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Thomas E. Webb, Jr.</w:t>
            </w:r>
          </w:p>
        </w:tc>
        <w:tc>
          <w:tcPr>
            <w:tcW w:w="1368" w:type="dxa"/>
          </w:tcPr>
          <w:p w:rsidR="00004192" w:rsidRDefault="00004192">
            <w:pPr>
              <w:pStyle w:val="TableParagraph"/>
              <w:spacing w:before="1"/>
              <w:rPr>
                <w:sz w:val="19"/>
              </w:rPr>
            </w:pPr>
          </w:p>
          <w:p w:rsidR="00004192" w:rsidRDefault="00584A1C">
            <w:pPr>
              <w:pStyle w:val="TableParagraph"/>
              <w:ind w:left="128" w:right="12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7/1/19-7/5/19</w:t>
            </w:r>
          </w:p>
        </w:tc>
        <w:tc>
          <w:tcPr>
            <w:tcW w:w="2365" w:type="dxa"/>
          </w:tcPr>
          <w:p w:rsidR="00004192" w:rsidRDefault="00004192">
            <w:pPr>
              <w:pStyle w:val="TableParagraph"/>
              <w:spacing w:before="1"/>
              <w:rPr>
                <w:sz w:val="19"/>
              </w:rPr>
            </w:pPr>
          </w:p>
          <w:p w:rsidR="00004192" w:rsidRDefault="00584A1C">
            <w:pPr>
              <w:pStyle w:val="TableParagraph"/>
              <w:ind w:left="169" w:right="16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1.2</w:t>
            </w:r>
          </w:p>
        </w:tc>
      </w:tr>
    </w:tbl>
    <w:p w:rsidR="00004192" w:rsidRDefault="00004192">
      <w:pPr>
        <w:pStyle w:val="BodyText"/>
      </w:pPr>
    </w:p>
    <w:p w:rsidR="00004192" w:rsidRDefault="00004192">
      <w:pPr>
        <w:pStyle w:val="BodyText"/>
        <w:spacing w:before="6"/>
        <w:rPr>
          <w:sz w:val="23"/>
        </w:rPr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pStyle w:val="BodyText"/>
        <w:spacing w:before="3"/>
        <w:rPr>
          <w:sz w:val="28"/>
        </w:rPr>
      </w:pPr>
    </w:p>
    <w:p w:rsidR="00004192" w:rsidRDefault="00584A1C">
      <w:pPr>
        <w:ind w:left="160"/>
        <w:rPr>
          <w:i/>
          <w:sz w:val="24"/>
        </w:rPr>
      </w:pPr>
      <w:r>
        <w:rPr>
          <w:b/>
          <w:sz w:val="28"/>
          <w:u w:val="thick"/>
        </w:rPr>
        <w:t>Report – Trustee Yates</w:t>
      </w:r>
      <w:r>
        <w:rPr>
          <w:b/>
          <w:sz w:val="28"/>
        </w:rPr>
        <w:t xml:space="preserve"> – </w:t>
      </w:r>
      <w:r>
        <w:rPr>
          <w:i/>
          <w:sz w:val="24"/>
        </w:rPr>
        <w:t>No reports</w:t>
      </w:r>
    </w:p>
    <w:p w:rsidR="00004192" w:rsidRDefault="00004192">
      <w:pPr>
        <w:pStyle w:val="BodyText"/>
        <w:spacing w:before="3"/>
        <w:rPr>
          <w:i/>
          <w:sz w:val="20"/>
        </w:rPr>
      </w:pPr>
    </w:p>
    <w:p w:rsidR="00004192" w:rsidRDefault="00584A1C">
      <w:pPr>
        <w:spacing w:before="90"/>
        <w:ind w:left="160"/>
        <w:rPr>
          <w:b/>
          <w:sz w:val="24"/>
        </w:rPr>
      </w:pPr>
      <w:r>
        <w:rPr>
          <w:b/>
          <w:sz w:val="24"/>
          <w:u w:val="thick"/>
        </w:rPr>
        <w:t>Staff Reports</w:t>
      </w:r>
    </w:p>
    <w:p w:rsidR="00004192" w:rsidRDefault="00004192">
      <w:pPr>
        <w:pStyle w:val="BodyText"/>
        <w:spacing w:before="8"/>
        <w:rPr>
          <w:b/>
          <w:sz w:val="15"/>
        </w:rPr>
      </w:pPr>
    </w:p>
    <w:p w:rsidR="00004192" w:rsidRDefault="00584A1C">
      <w:pPr>
        <w:spacing w:before="90"/>
        <w:ind w:left="160"/>
        <w:rPr>
          <w:i/>
          <w:sz w:val="24"/>
        </w:rPr>
      </w:pPr>
      <w:r>
        <w:rPr>
          <w:b/>
          <w:i/>
          <w:sz w:val="24"/>
        </w:rPr>
        <w:t xml:space="preserve">Attorney </w:t>
      </w:r>
      <w:proofErr w:type="spellStart"/>
      <w:r>
        <w:rPr>
          <w:b/>
          <w:i/>
          <w:sz w:val="24"/>
        </w:rPr>
        <w:t>Greico</w:t>
      </w:r>
      <w:proofErr w:type="spellEnd"/>
      <w:r>
        <w:rPr>
          <w:i/>
          <w:sz w:val="24"/>
        </w:rPr>
        <w:t>: No reports.</w:t>
      </w:r>
    </w:p>
    <w:p w:rsidR="00004192" w:rsidRDefault="00004192">
      <w:pPr>
        <w:pStyle w:val="BodyText"/>
        <w:rPr>
          <w:i/>
        </w:rPr>
      </w:pPr>
    </w:p>
    <w:p w:rsidR="00004192" w:rsidRDefault="00584A1C">
      <w:pPr>
        <w:ind w:left="160"/>
        <w:rPr>
          <w:i/>
          <w:sz w:val="24"/>
        </w:rPr>
      </w:pPr>
      <w:r>
        <w:rPr>
          <w:b/>
          <w:i/>
          <w:sz w:val="24"/>
        </w:rPr>
        <w:t>Deputy Treasurer Pasco</w:t>
      </w:r>
      <w:r>
        <w:rPr>
          <w:i/>
          <w:sz w:val="24"/>
        </w:rPr>
        <w:t>: No reports</w:t>
      </w:r>
    </w:p>
    <w:p w:rsidR="00004192" w:rsidRDefault="00004192">
      <w:pPr>
        <w:pStyle w:val="BodyText"/>
        <w:rPr>
          <w:i/>
        </w:rPr>
      </w:pPr>
    </w:p>
    <w:p w:rsidR="00004192" w:rsidRDefault="00584A1C">
      <w:pPr>
        <w:spacing w:before="1"/>
        <w:ind w:left="160"/>
        <w:rPr>
          <w:i/>
          <w:sz w:val="24"/>
        </w:rPr>
      </w:pPr>
      <w:r>
        <w:rPr>
          <w:b/>
          <w:i/>
          <w:sz w:val="24"/>
        </w:rPr>
        <w:t xml:space="preserve">Director of Community Development </w:t>
      </w:r>
      <w:proofErr w:type="spellStart"/>
      <w:r>
        <w:rPr>
          <w:b/>
          <w:i/>
          <w:sz w:val="24"/>
        </w:rPr>
        <w:t>DePriest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>No reports</w:t>
      </w:r>
    </w:p>
    <w:p w:rsidR="00004192" w:rsidRDefault="00004192">
      <w:pPr>
        <w:pStyle w:val="BodyText"/>
        <w:rPr>
          <w:i/>
        </w:rPr>
      </w:pPr>
    </w:p>
    <w:p w:rsidR="00004192" w:rsidRDefault="00584A1C">
      <w:pPr>
        <w:pStyle w:val="BodyText"/>
        <w:ind w:left="160"/>
      </w:pPr>
      <w:r>
        <w:rPr>
          <w:b/>
        </w:rPr>
        <w:t xml:space="preserve">ON MOTION </w:t>
      </w:r>
      <w:r>
        <w:t xml:space="preserve">by Mayor Rogers, seconded by Trustee </w:t>
      </w:r>
      <w:proofErr w:type="spellStart"/>
      <w:r>
        <w:t>Etu</w:t>
      </w:r>
      <w:proofErr w:type="spellEnd"/>
      <w:r>
        <w:t xml:space="preserve">, it </w:t>
      </w:r>
      <w:proofErr w:type="gramStart"/>
      <w:r>
        <w:t>was moved</w:t>
      </w:r>
      <w:proofErr w:type="gramEnd"/>
      <w:r>
        <w:t xml:space="preserve"> to adjourn the meeting at 8:20 p.m.</w:t>
      </w:r>
    </w:p>
    <w:p w:rsidR="00004192" w:rsidRDefault="00004192">
      <w:pPr>
        <w:pStyle w:val="BodyText"/>
      </w:pPr>
    </w:p>
    <w:p w:rsidR="00004192" w:rsidRDefault="00584A1C">
      <w:pPr>
        <w:pStyle w:val="BodyText"/>
        <w:ind w:left="880"/>
      </w:pPr>
      <w:r>
        <w:t>Motion carried 4-0</w:t>
      </w:r>
    </w:p>
    <w:p w:rsidR="00004192" w:rsidRDefault="00004192">
      <w:pPr>
        <w:pStyle w:val="BodyText"/>
        <w:rPr>
          <w:sz w:val="20"/>
        </w:rPr>
      </w:pPr>
    </w:p>
    <w:p w:rsidR="00004192" w:rsidRDefault="00584A1C">
      <w:pPr>
        <w:pStyle w:val="BodyText"/>
        <w:spacing w:before="8"/>
        <w:rPr>
          <w:sz w:val="27"/>
        </w:rPr>
      </w:pPr>
      <w:r>
        <w:pict>
          <v:shape id="_x0000_s1026" style="position:absolute;margin-left:306.05pt;margin-top:18.15pt;width:198.05pt;height:.1pt;z-index:-251658752;mso-wrap-distance-left:0;mso-wrap-distance-right:0;mso-position-horizontal-relative:page" coordorigin="6121,363" coordsize="3961,0" path="m6121,363r3961,e" filled="f" strokeweight=".48pt">
            <v:path arrowok="t"/>
            <w10:wrap type="topAndBottom" anchorx="page"/>
          </v:shape>
        </w:pict>
      </w:r>
    </w:p>
    <w:p w:rsidR="00004192" w:rsidRDefault="00584A1C">
      <w:pPr>
        <w:pStyle w:val="BodyText"/>
        <w:spacing w:line="247" w:lineRule="exact"/>
        <w:ind w:left="4481"/>
      </w:pPr>
      <w:r>
        <w:t xml:space="preserve">Judith A. </w:t>
      </w:r>
      <w:proofErr w:type="spellStart"/>
      <w:r>
        <w:t>Kindron</w:t>
      </w:r>
      <w:proofErr w:type="spellEnd"/>
    </w:p>
    <w:p w:rsidR="00004192" w:rsidRDefault="00584A1C">
      <w:pPr>
        <w:pStyle w:val="BodyText"/>
        <w:ind w:left="4481"/>
      </w:pPr>
      <w:r>
        <w:t>Administrator/Clerk-Treasurer</w:t>
      </w:r>
    </w:p>
    <w:sectPr w:rsidR="00004192">
      <w:pgSz w:w="12240" w:h="15840"/>
      <w:pgMar w:top="1560" w:right="640" w:bottom="280" w:left="16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1C" w:rsidRDefault="00584A1C">
      <w:r>
        <w:separator/>
      </w:r>
    </w:p>
  </w:endnote>
  <w:endnote w:type="continuationSeparator" w:id="0">
    <w:p w:rsidR="00584A1C" w:rsidRDefault="0058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1C" w:rsidRDefault="00584A1C">
      <w:r>
        <w:separator/>
      </w:r>
    </w:p>
  </w:footnote>
  <w:footnote w:type="continuationSeparator" w:id="0">
    <w:p w:rsidR="00584A1C" w:rsidRDefault="0058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92" w:rsidRDefault="00584A1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35.45pt;width:459.8pt;height:42.9pt;z-index:-251658752;mso-position-horizontal-relative:page;mso-position-vertical-relative:page" filled="f" stroked="f">
          <v:textbox inset="0,0,0,0">
            <w:txbxContent>
              <w:p w:rsidR="00004192" w:rsidRDefault="00584A1C">
                <w:pPr>
                  <w:spacing w:before="10"/>
                  <w:ind w:left="20" w:right="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Minutes of the regular meeting of the Village of Williamsville Board of Trustees held at Village Hall, 5565 Main Street, Williamsville, New York, on Monday, January 13, 2020 at 7:30 p.m.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B43D7"/>
    <w:multiLevelType w:val="hybridMultilevel"/>
    <w:tmpl w:val="A648B154"/>
    <w:lvl w:ilvl="0" w:tplc="527CEA72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BAC2565A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4FA27F6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F60A79B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 w:tplc="189EBC8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076C10B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9E64DB70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00F402FE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08E0EC84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04192"/>
    <w:rsid w:val="00004192"/>
    <w:rsid w:val="00584A1C"/>
    <w:rsid w:val="006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6FAD1D6-8D44-46BF-9232-8896443D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16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Village of Williamsville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Deb</dc:creator>
  <cp:lastModifiedBy>Keaton DePreist</cp:lastModifiedBy>
  <cp:revision>2</cp:revision>
  <dcterms:created xsi:type="dcterms:W3CDTF">2020-01-21T21:04:00Z</dcterms:created>
  <dcterms:modified xsi:type="dcterms:W3CDTF">2020-01-21T21:04:00Z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2020-01-21T00:00:00Z</vt:filetime>
  </property>
</Properties>
</file>